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65" w:rsidRPr="008B3FA1" w:rsidRDefault="005C3E65" w:rsidP="00BB42E0">
      <w:pPr>
        <w:pStyle w:val="NormalWeb"/>
        <w:ind w:left="-426" w:right="-574"/>
        <w:jc w:val="both"/>
        <w:rPr>
          <w:rFonts w:ascii="Arial" w:hAnsi="Arial" w:cs="Arial"/>
          <w:b/>
          <w:bCs/>
          <w:i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lang w:val="en-US"/>
        </w:rPr>
        <w:t xml:space="preserve">Project title: </w:t>
      </w:r>
      <w:r w:rsidR="00BB42E0" w:rsidRPr="00BB42E0">
        <w:rPr>
          <w:rFonts w:ascii="Arial" w:hAnsi="Arial" w:cs="Arial"/>
          <w:b/>
          <w:bCs/>
          <w:i/>
          <w:sz w:val="40"/>
          <w:szCs w:val="40"/>
          <w:lang w:val="en-US"/>
        </w:rPr>
        <w:t xml:space="preserve">Microsatellites: Polymorphisms and Hubs for Activation of transcription in Ewing sarcoma </w:t>
      </w:r>
    </w:p>
    <w:p w:rsidR="00277D64" w:rsidRPr="0030438E" w:rsidRDefault="005C3E65" w:rsidP="0027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i/>
          <w:color w:val="000000"/>
          <w:lang w:val="en-US"/>
        </w:rPr>
      </w:pPr>
      <w:r w:rsidRPr="0030438E">
        <w:rPr>
          <w:rFonts w:ascii="Arial" w:hAnsi="Arial" w:cs="Arial"/>
          <w:bCs/>
          <w:i/>
          <w:color w:val="000000"/>
          <w:lang w:val="en-US"/>
        </w:rPr>
        <w:t>Arial 12</w:t>
      </w:r>
      <w:r>
        <w:rPr>
          <w:rFonts w:ascii="Arial" w:hAnsi="Arial" w:cs="Arial"/>
          <w:bCs/>
          <w:color w:val="000000"/>
          <w:lang w:val="en-US"/>
        </w:rPr>
        <w:t xml:space="preserve"> – </w:t>
      </w:r>
      <w:r w:rsidRPr="0030438E">
        <w:rPr>
          <w:rFonts w:ascii="Arial" w:hAnsi="Arial" w:cs="Arial"/>
          <w:bCs/>
          <w:i/>
          <w:color w:val="000000"/>
          <w:lang w:val="en-US"/>
        </w:rPr>
        <w:t>Please provide a short description of the project (theme, summary and goals of the project)</w:t>
      </w:r>
    </w:p>
    <w:p w:rsidR="007B329C" w:rsidRPr="007B329C" w:rsidRDefault="008B3FA1" w:rsidP="00A0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jc w:val="both"/>
        <w:rPr>
          <w:rFonts w:ascii="Arial" w:hAnsi="Arial" w:cs="Arial"/>
          <w:bCs/>
          <w:color w:val="000000"/>
          <w:lang w:val="en-US"/>
        </w:rPr>
      </w:pPr>
      <w:r w:rsidRPr="007B329C">
        <w:rPr>
          <w:rFonts w:ascii="Arial" w:hAnsi="Arial" w:cs="Arial"/>
          <w:bCs/>
          <w:color w:val="000000"/>
          <w:lang w:val="en-US"/>
        </w:rPr>
        <w:t>The team of Dr O. Delattre at Institut Curie</w:t>
      </w:r>
      <w:r w:rsidRPr="007B329C">
        <w:rPr>
          <w:rFonts w:ascii="Arial" w:hAnsi="Arial" w:cs="Arial"/>
          <w:bCs/>
          <w:iCs/>
          <w:color w:val="000000"/>
          <w:lang w:val="en-US"/>
        </w:rPr>
        <w:t xml:space="preserve"> </w:t>
      </w:r>
      <w:r w:rsidRPr="007B329C">
        <w:rPr>
          <w:rFonts w:ascii="Arial" w:hAnsi="Arial" w:cs="Arial"/>
          <w:bCs/>
          <w:color w:val="000000"/>
          <w:lang w:val="en-US"/>
        </w:rPr>
        <w:t xml:space="preserve">in Paris is recruiting </w:t>
      </w:r>
      <w:r w:rsidR="00BB42E0" w:rsidRPr="007B329C">
        <w:rPr>
          <w:rFonts w:ascii="Arial" w:hAnsi="Arial" w:cs="Arial"/>
          <w:b/>
          <w:bCs/>
          <w:color w:val="000000"/>
          <w:lang w:val="en-US"/>
        </w:rPr>
        <w:t>1</w:t>
      </w:r>
      <w:r w:rsidRPr="007B329C">
        <w:rPr>
          <w:rFonts w:ascii="Arial" w:hAnsi="Arial" w:cs="Arial"/>
          <w:b/>
          <w:bCs/>
          <w:color w:val="000000"/>
          <w:lang w:val="en-US"/>
        </w:rPr>
        <w:t xml:space="preserve"> post-doctoral researchers</w:t>
      </w:r>
      <w:r w:rsidR="00277D64" w:rsidRPr="007B329C">
        <w:rPr>
          <w:rFonts w:ascii="Arial" w:hAnsi="Arial" w:cs="Arial"/>
          <w:b/>
          <w:bCs/>
          <w:color w:val="000000"/>
          <w:lang w:val="en-US"/>
        </w:rPr>
        <w:t xml:space="preserve"> for 3 years</w:t>
      </w:r>
      <w:r w:rsidRPr="007B329C">
        <w:rPr>
          <w:rFonts w:ascii="Arial" w:hAnsi="Arial" w:cs="Arial"/>
          <w:bCs/>
          <w:color w:val="000000"/>
          <w:lang w:val="en-US"/>
        </w:rPr>
        <w:t xml:space="preserve"> to participate in an </w:t>
      </w:r>
      <w:r w:rsidR="00BB42E0" w:rsidRPr="007B329C">
        <w:rPr>
          <w:rFonts w:ascii="Arial" w:hAnsi="Arial" w:cs="Arial"/>
          <w:bCs/>
          <w:color w:val="000000"/>
          <w:lang w:val="en-US"/>
        </w:rPr>
        <w:t>research</w:t>
      </w:r>
      <w:r w:rsidRPr="007B329C">
        <w:rPr>
          <w:rFonts w:ascii="Arial" w:hAnsi="Arial" w:cs="Arial"/>
          <w:bCs/>
          <w:color w:val="000000"/>
          <w:lang w:val="en-US"/>
        </w:rPr>
        <w:t xml:space="preserve"> program entitled “</w:t>
      </w:r>
      <w:r w:rsidR="00BB42E0" w:rsidRPr="007B329C">
        <w:rPr>
          <w:rFonts w:ascii="Arial" w:hAnsi="Arial" w:cs="Arial"/>
          <w:bCs/>
          <w:color w:val="000000"/>
          <w:lang w:val="en-US"/>
        </w:rPr>
        <w:t>μPHASE</w:t>
      </w:r>
      <w:r w:rsidRPr="007B329C">
        <w:rPr>
          <w:rFonts w:ascii="Arial" w:hAnsi="Arial" w:cs="Arial"/>
          <w:bCs/>
          <w:color w:val="000000"/>
          <w:lang w:val="en-US"/>
        </w:rPr>
        <w:t xml:space="preserve">” focusing </w:t>
      </w:r>
      <w:r w:rsidR="00E82590" w:rsidRPr="007B329C">
        <w:rPr>
          <w:rFonts w:ascii="Arial" w:hAnsi="Arial" w:cs="Arial"/>
          <w:bCs/>
          <w:color w:val="000000"/>
          <w:lang w:val="en-US"/>
        </w:rPr>
        <w:t xml:space="preserve">on the mechanism of action of the EWSR1-FLI1 gene fusion in Ewing sarcomas. </w:t>
      </w:r>
    </w:p>
    <w:p w:rsidR="00E82590" w:rsidRDefault="007B329C" w:rsidP="004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8"/>
        <w:jc w:val="both"/>
        <w:rPr>
          <w:rFonts w:ascii="Arial" w:hAnsi="Arial" w:cs="Arial"/>
          <w:bCs/>
          <w:color w:val="000000"/>
          <w:lang w:val="en-US"/>
        </w:rPr>
      </w:pPr>
      <w:r w:rsidRPr="007B329C">
        <w:rPr>
          <w:rFonts w:ascii="Arial" w:hAnsi="Arial" w:cs="Arial"/>
          <w:bCs/>
          <w:color w:val="000000"/>
          <w:lang w:val="en-US"/>
        </w:rPr>
        <w:t xml:space="preserve">Ewing sarcoma is a primary bone tumor that primarily occurs in the second decade of life. A hallmark feature of the tumor is a fusion that occurs between EWSR1 and a member of the ETS transcription factor family. In approximately 85% of ES cases, the fusion is EWSR1-FLI1. </w:t>
      </w:r>
      <w:r w:rsidR="00E82590" w:rsidRPr="007B329C">
        <w:rPr>
          <w:rFonts w:ascii="Arial" w:hAnsi="Arial" w:cs="Arial"/>
          <w:bCs/>
          <w:color w:val="000000"/>
          <w:lang w:val="en-US"/>
        </w:rPr>
        <w:t>EWSR1-FLI1 is an aberrant transcription factor that contains the DNA binding domain of FLI1 (or other ETS family transcription factor) in its C-terminus and the low complexity domain (LCD) or prion-like domain of EWSR1 in its N-terminus The LCD domain of EWSR1 is able of inducing a concentration dependent phase separation– of the liquid-liquid type -, between a mixed, homogeneous phase, and a "demixed", droplet-like state. This project</w:t>
      </w:r>
      <w:r w:rsidR="00A0037D" w:rsidRPr="007B329C">
        <w:rPr>
          <w:rFonts w:ascii="Arial" w:hAnsi="Arial" w:cs="Arial"/>
          <w:bCs/>
          <w:color w:val="000000"/>
          <w:lang w:val="en-US"/>
        </w:rPr>
        <w:t xml:space="preserve"> aims at detailed analysis of EWSR1-FLI mechanisms of action and</w:t>
      </w:r>
      <w:r w:rsidR="00E82590" w:rsidRPr="007B329C">
        <w:rPr>
          <w:rFonts w:ascii="Arial" w:hAnsi="Arial" w:cs="Arial"/>
          <w:bCs/>
          <w:color w:val="000000"/>
          <w:lang w:val="en-US"/>
        </w:rPr>
        <w:t xml:space="preserve"> should lead to a better understanding </w:t>
      </w:r>
      <w:r w:rsidR="00A0037D" w:rsidRPr="007B329C">
        <w:rPr>
          <w:rFonts w:ascii="Arial" w:hAnsi="Arial" w:cs="Arial"/>
          <w:bCs/>
          <w:color w:val="000000"/>
          <w:lang w:val="en-US"/>
        </w:rPr>
        <w:t>of Ewing Sarcoma</w:t>
      </w:r>
      <w:r w:rsidR="00E82590" w:rsidRPr="007B329C">
        <w:rPr>
          <w:rFonts w:ascii="Arial" w:hAnsi="Arial" w:cs="Arial"/>
          <w:bCs/>
          <w:color w:val="000000"/>
          <w:lang w:val="en-US"/>
        </w:rPr>
        <w:t xml:space="preserve"> development and may open </w:t>
      </w:r>
      <w:r w:rsidR="00A0037D" w:rsidRPr="007B329C">
        <w:rPr>
          <w:rFonts w:ascii="Arial" w:hAnsi="Arial" w:cs="Arial"/>
          <w:bCs/>
          <w:color w:val="000000"/>
          <w:lang w:val="en-US"/>
        </w:rPr>
        <w:t xml:space="preserve">routes for </w:t>
      </w:r>
      <w:r w:rsidR="00E82590" w:rsidRPr="007B329C">
        <w:rPr>
          <w:rFonts w:ascii="Arial" w:hAnsi="Arial" w:cs="Arial"/>
          <w:bCs/>
          <w:color w:val="000000"/>
          <w:lang w:val="en-US"/>
        </w:rPr>
        <w:t>new therapeutic options.</w:t>
      </w:r>
    </w:p>
    <w:p w:rsidR="004D53B9" w:rsidRPr="007B329C" w:rsidRDefault="004D53B9" w:rsidP="004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8"/>
        <w:jc w:val="both"/>
        <w:rPr>
          <w:rFonts w:ascii="Arial" w:hAnsi="Arial" w:cs="Arial"/>
          <w:bCs/>
          <w:color w:val="000000"/>
          <w:lang w:val="en-US"/>
        </w:rPr>
      </w:pPr>
      <w:r w:rsidRPr="004D53B9">
        <w:rPr>
          <w:rFonts w:ascii="Arial" w:hAnsi="Arial" w:cs="Arial"/>
          <w:bCs/>
          <w:color w:val="000000"/>
          <w:lang w:val="en-US"/>
        </w:rPr>
        <w:t>This project is conducted in collaboration with physicists at Institut Curie (M Coppey’s team)</w:t>
      </w:r>
      <w:r>
        <w:rPr>
          <w:rFonts w:ascii="Arial" w:hAnsi="Arial" w:cs="Arial"/>
          <w:bCs/>
          <w:color w:val="000000"/>
          <w:lang w:val="en-US"/>
        </w:rPr>
        <w:t>.</w:t>
      </w:r>
    </w:p>
    <w:p w:rsidR="005C3E65" w:rsidRDefault="005C3E65" w:rsidP="005C3E65">
      <w:pPr>
        <w:tabs>
          <w:tab w:val="left" w:pos="2992"/>
        </w:tabs>
        <w:ind w:left="-567" w:right="-574"/>
        <w:rPr>
          <w:rFonts w:ascii="Arial" w:hAnsi="Arial" w:cs="Arial"/>
          <w:bCs/>
          <w:color w:val="000000"/>
          <w:sz w:val="36"/>
          <w:szCs w:val="36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Key words:</w:t>
      </w:r>
      <w:r w:rsidRPr="00C743C1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5"/>
        <w:gridCol w:w="3206"/>
        <w:gridCol w:w="3029"/>
        <w:gridCol w:w="126"/>
      </w:tblGrid>
      <w:tr w:rsidR="00A0037D" w:rsidRPr="003970D5" w:rsidTr="00A0037D">
        <w:trPr>
          <w:gridAfter w:val="1"/>
          <w:wAfter w:w="126" w:type="dxa"/>
        </w:trPr>
        <w:tc>
          <w:tcPr>
            <w:tcW w:w="2705" w:type="dxa"/>
            <w:shd w:val="clear" w:color="auto" w:fill="auto"/>
          </w:tcPr>
          <w:p w:rsidR="00A0037D" w:rsidRPr="003970D5" w:rsidRDefault="00A0037D" w:rsidP="00A0037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Narrow" w:hAnsi="ArialNarrow" w:cs="ArialNarrow"/>
                <w:bCs/>
                <w:i/>
                <w:color w:val="000000"/>
                <w:lang w:val="en-US"/>
              </w:rPr>
            </w:pPr>
            <w:r>
              <w:rPr>
                <w:rFonts w:ascii="ArialNarrow" w:hAnsi="ArialNarrow" w:cs="ArialNarrow"/>
                <w:bCs/>
                <w:i/>
                <w:color w:val="000000"/>
                <w:lang w:val="en-US"/>
              </w:rPr>
              <w:t>Ewing Sarcoma</w:t>
            </w:r>
          </w:p>
        </w:tc>
        <w:tc>
          <w:tcPr>
            <w:tcW w:w="3206" w:type="dxa"/>
            <w:shd w:val="clear" w:color="auto" w:fill="auto"/>
          </w:tcPr>
          <w:p w:rsidR="00A0037D" w:rsidRPr="003970D5" w:rsidRDefault="00A0037D" w:rsidP="00A0037D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  <w:r>
              <w:rPr>
                <w:rFonts w:ascii="ArialNarrow" w:hAnsi="ArialNarrow" w:cs="ArialNarrow"/>
                <w:bCs/>
                <w:color w:val="000000"/>
                <w:lang w:val="en-US"/>
              </w:rPr>
              <w:t>Phase transition</w:t>
            </w:r>
          </w:p>
        </w:tc>
        <w:tc>
          <w:tcPr>
            <w:tcW w:w="3029" w:type="dxa"/>
          </w:tcPr>
          <w:p w:rsidR="00A0037D" w:rsidRDefault="00A0037D" w:rsidP="00A0037D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  <w:r>
              <w:rPr>
                <w:rFonts w:ascii="ArialNarrow" w:hAnsi="ArialNarrow" w:cs="ArialNarrow"/>
                <w:bCs/>
                <w:color w:val="000000"/>
                <w:lang w:val="en-US"/>
              </w:rPr>
              <w:t>Gene Fusion</w:t>
            </w:r>
          </w:p>
        </w:tc>
      </w:tr>
      <w:tr w:rsidR="00A0037D" w:rsidRPr="003970D5" w:rsidTr="00A0037D">
        <w:tc>
          <w:tcPr>
            <w:tcW w:w="2705" w:type="dxa"/>
            <w:shd w:val="clear" w:color="auto" w:fill="auto"/>
          </w:tcPr>
          <w:p w:rsidR="00A0037D" w:rsidRPr="00A0037D" w:rsidRDefault="00A0037D" w:rsidP="00A0037D">
            <w:pPr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206" w:type="dxa"/>
          </w:tcPr>
          <w:p w:rsidR="00A0037D" w:rsidRPr="003970D5" w:rsidRDefault="00A0037D" w:rsidP="00A0037D">
            <w:pPr>
              <w:pStyle w:val="Paragraphedeliste"/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155" w:type="dxa"/>
            <w:gridSpan w:val="2"/>
            <w:shd w:val="clear" w:color="auto" w:fill="auto"/>
          </w:tcPr>
          <w:p w:rsidR="00A0037D" w:rsidRPr="003970D5" w:rsidRDefault="00A0037D" w:rsidP="00A0037D">
            <w:pPr>
              <w:pStyle w:val="Paragraphedeliste"/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</w:tr>
    </w:tbl>
    <w:p w:rsidR="00A0037D" w:rsidRDefault="00A0037D" w:rsidP="00A0037D">
      <w:pPr>
        <w:rPr>
          <w:lang w:val="en-US"/>
        </w:rPr>
      </w:pPr>
    </w:p>
    <w:p w:rsidR="005C3E65" w:rsidRDefault="005C3E65" w:rsidP="00A0037D">
      <w:pPr>
        <w:rPr>
          <w:rFonts w:ascii="ArialNarrow" w:hAnsi="ArialNarrow" w:cs="ArialNarrow"/>
          <w:b/>
          <w:bCs/>
          <w:color w:val="00B3DE"/>
          <w:sz w:val="28"/>
          <w:szCs w:val="28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Profile and skills of the candidate: </w:t>
      </w:r>
    </w:p>
    <w:p w:rsidR="006D5E5B" w:rsidRDefault="00B526D1" w:rsidP="00B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jc w:val="both"/>
        <w:rPr>
          <w:rFonts w:ascii="Arial" w:hAnsi="Arial" w:cs="Arial"/>
          <w:bCs/>
          <w:color w:val="000000"/>
          <w:lang w:val="en-US"/>
        </w:rPr>
      </w:pPr>
      <w:r w:rsidRPr="00B526D1">
        <w:rPr>
          <w:rFonts w:ascii="Arial" w:hAnsi="Arial" w:cs="Arial"/>
          <w:bCs/>
          <w:color w:val="000000"/>
          <w:lang w:val="en-US"/>
        </w:rPr>
        <w:t>We are looking for highly motivated and innovative post-doc candidates with a PhD degree in life science, preferentially in a relevant discipline (cellular and molecular biology, cancer bio</w:t>
      </w:r>
      <w:r w:rsidR="006D5E5B">
        <w:rPr>
          <w:rFonts w:ascii="Arial" w:hAnsi="Arial" w:cs="Arial"/>
          <w:bCs/>
          <w:color w:val="000000"/>
          <w:lang w:val="en-US"/>
        </w:rPr>
        <w:t>logy …), or in bio-informatics.</w:t>
      </w:r>
    </w:p>
    <w:p w:rsidR="005C3E65" w:rsidRDefault="006D5E5B" w:rsidP="00B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jc w:val="both"/>
        <w:rPr>
          <w:rFonts w:ascii="Arial" w:hAnsi="Arial" w:cs="Arial"/>
          <w:bCs/>
          <w:color w:val="000000"/>
          <w:lang w:val="en-US"/>
        </w:rPr>
      </w:pPr>
      <w:r w:rsidRPr="006D5E5B">
        <w:rPr>
          <w:rFonts w:ascii="Arial" w:hAnsi="Arial" w:cs="Arial"/>
          <w:bCs/>
          <w:color w:val="000000"/>
          <w:lang w:val="en-US"/>
        </w:rPr>
        <w:t>Affinity with genomics, cell signaling</w:t>
      </w:r>
      <w:r>
        <w:rPr>
          <w:rFonts w:ascii="Arial" w:hAnsi="Arial" w:cs="Arial"/>
          <w:bCs/>
          <w:color w:val="000000"/>
          <w:lang w:val="en-US"/>
        </w:rPr>
        <w:t xml:space="preserve"> and physics</w:t>
      </w:r>
      <w:r w:rsidRPr="006D5E5B">
        <w:rPr>
          <w:rFonts w:ascii="Arial" w:hAnsi="Arial" w:cs="Arial"/>
          <w:bCs/>
          <w:color w:val="000000"/>
          <w:lang w:val="en-US"/>
        </w:rPr>
        <w:t xml:space="preserve"> is highly appreciated. In addition, we expect the Postdoctoral Researcher to have excellent communication skills, to be a good team player and to have a strong affinity with working in an interdisciplinary and international research environment.</w:t>
      </w:r>
    </w:p>
    <w:p w:rsidR="005C3E65" w:rsidRPr="00B5543D" w:rsidRDefault="005C3E65" w:rsidP="005C3E65">
      <w:pPr>
        <w:ind w:left="-567" w:right="-574"/>
        <w:rPr>
          <w:rFonts w:ascii="ArialNarrow" w:hAnsi="ArialNarrow" w:cs="ArialNarrow"/>
          <w:b/>
          <w:bCs/>
          <w:color w:val="00B3DE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Lab: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="00B526D1" w:rsidRPr="00B526D1">
        <w:rPr>
          <w:rFonts w:ascii="Arial" w:hAnsi="Arial" w:cs="Arial"/>
          <w:bCs/>
          <w:i/>
          <w:color w:val="000000"/>
          <w:lang w:val="en-US"/>
        </w:rPr>
        <w:t>Diversity and Plasticity of Childhood Tumors</w:t>
      </w:r>
      <w:r w:rsidR="00B526D1">
        <w:rPr>
          <w:rFonts w:ascii="Arial" w:hAnsi="Arial" w:cs="Arial"/>
          <w:bCs/>
          <w:i/>
          <w:color w:val="000000"/>
          <w:lang w:val="en-US"/>
        </w:rPr>
        <w:t xml:space="preserve"> – Olivier Delattre</w:t>
      </w:r>
    </w:p>
    <w:p w:rsidR="005C3E65" w:rsidRPr="00B5543D" w:rsidRDefault="005C3E65" w:rsidP="005C3E65">
      <w:pPr>
        <w:ind w:left="-567" w:right="-574"/>
        <w:rPr>
          <w:rFonts w:ascii="ArialNarrow" w:hAnsi="ArialNarrow" w:cs="ArialNarrow"/>
          <w:b/>
          <w:bCs/>
          <w:color w:val="000000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Location: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="00B526D1">
        <w:rPr>
          <w:rFonts w:ascii="Arial" w:hAnsi="Arial" w:cs="Arial"/>
          <w:bCs/>
          <w:i/>
          <w:color w:val="000000"/>
          <w:lang w:val="en-US"/>
        </w:rPr>
        <w:t>Paris- France</w:t>
      </w:r>
    </w:p>
    <w:p w:rsidR="005C3E65" w:rsidRPr="00B5543D" w:rsidRDefault="005C3E65" w:rsidP="005C3E65">
      <w:pPr>
        <w:ind w:left="-567" w:right="-574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Contact: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hyperlink r:id="rId8" w:history="1">
        <w:r w:rsidR="00B526D1" w:rsidRPr="008B3FA1">
          <w:rPr>
            <w:rStyle w:val="Lienhypertexte"/>
            <w:rFonts w:ascii="Arial" w:hAnsi="Arial" w:cs="Arial"/>
            <w:bCs/>
            <w:i/>
            <w:lang w:val="en-US"/>
          </w:rPr>
          <w:t>Olivier.Delattre@curie.fr</w:t>
        </w:r>
      </w:hyperlink>
      <w:r w:rsidR="00B526D1" w:rsidRPr="008B3FA1">
        <w:rPr>
          <w:rFonts w:ascii="Arial" w:hAnsi="Arial" w:cs="Arial"/>
          <w:bCs/>
          <w:i/>
          <w:color w:val="000000"/>
          <w:lang w:val="en-US"/>
        </w:rPr>
        <w:t xml:space="preserve"> and </w:t>
      </w:r>
      <w:hyperlink r:id="rId9" w:history="1">
        <w:r w:rsidR="00A0037D" w:rsidRPr="00C934F0">
          <w:rPr>
            <w:rStyle w:val="Lienhypertexte"/>
            <w:rFonts w:ascii="Arial" w:hAnsi="Arial" w:cs="Arial"/>
            <w:bCs/>
            <w:i/>
            <w:lang w:val="en-US"/>
          </w:rPr>
          <w:t>sandy.azzi-hatem@curie.fr</w:t>
        </w:r>
      </w:hyperlink>
      <w:r w:rsidR="00B526D1" w:rsidRPr="008B3FA1">
        <w:rPr>
          <w:rFonts w:ascii="Arial" w:hAnsi="Arial" w:cs="Arial"/>
          <w:bCs/>
          <w:i/>
          <w:color w:val="000000"/>
          <w:u w:val="single"/>
          <w:lang w:val="en-US"/>
        </w:rPr>
        <w:t>.</w:t>
      </w:r>
    </w:p>
    <w:p w:rsidR="005C3E65" w:rsidRPr="004D53B9" w:rsidRDefault="005C3E65" w:rsidP="004D53B9">
      <w:pPr>
        <w:ind w:left="-567" w:right="-574"/>
        <w:rPr>
          <w:rFonts w:ascii="Arial" w:hAnsi="Arial" w:cs="Arial"/>
          <w:bCs/>
          <w:i/>
          <w:color w:val="000000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lastRenderedPageBreak/>
        <w:t xml:space="preserve">Dead line </w:t>
      </w:r>
      <w:r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to submit </w:t>
      </w: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/ Starting dates</w:t>
      </w:r>
      <w:r w:rsidRPr="00C743C1">
        <w:rPr>
          <w:rFonts w:ascii="ArialNarrow" w:hAnsi="ArialNarrow" w:cs="ArialNarrow"/>
          <w:b/>
          <w:bCs/>
          <w:color w:val="000000"/>
          <w:sz w:val="32"/>
          <w:szCs w:val="32"/>
          <w:lang w:val="en-US"/>
        </w:rPr>
        <w:t>:</w:t>
      </w:r>
      <w:r w:rsidRPr="00C743C1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="00B526D1" w:rsidRPr="00B526D1">
        <w:rPr>
          <w:rFonts w:ascii="Arial" w:hAnsi="Arial" w:cs="Arial"/>
          <w:bCs/>
          <w:i/>
          <w:color w:val="000000"/>
          <w:lang w:val="en-US"/>
        </w:rPr>
        <w:t>Applicants should send their CV along with a cover letter before May 1st 2020</w:t>
      </w:r>
    </w:p>
    <w:sectPr w:rsidR="005C3E65" w:rsidRPr="004D53B9" w:rsidSect="005C3E65">
      <w:headerReference w:type="even" r:id="rId10"/>
      <w:headerReference w:type="default" r:id="rId11"/>
      <w:footerReference w:type="default" r:id="rId12"/>
      <w:pgSz w:w="11900" w:h="16840"/>
      <w:pgMar w:top="2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95" w:rsidRDefault="00A02695" w:rsidP="005C3E65">
      <w:pPr>
        <w:spacing w:after="0"/>
      </w:pPr>
      <w:r>
        <w:separator/>
      </w:r>
    </w:p>
  </w:endnote>
  <w:endnote w:type="continuationSeparator" w:id="0">
    <w:p w:rsidR="00A02695" w:rsidRDefault="00A02695" w:rsidP="005C3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3E65" w:rsidRDefault="005C3E65">
    <w:pPr>
      <w:pStyle w:val="Pieddepage"/>
    </w:pPr>
    <w:r w:rsidRPr="002B000F">
      <w:rPr>
        <w:noProof/>
        <w:lang w:val="fr-FR" w:eastAsia="fr-FR"/>
      </w:rPr>
      <w:drawing>
        <wp:inline distT="0" distB="0" distL="0" distR="0" wp14:anchorId="6A4C636C" wp14:editId="0F8F222B">
          <wp:extent cx="1393190" cy="173990"/>
          <wp:effectExtent l="0" t="0" r="0" b="0"/>
          <wp:docPr id="7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95" w:rsidRDefault="00A02695" w:rsidP="005C3E65">
      <w:pPr>
        <w:spacing w:after="0"/>
      </w:pPr>
      <w:r>
        <w:separator/>
      </w:r>
    </w:p>
  </w:footnote>
  <w:footnote w:type="continuationSeparator" w:id="0">
    <w:p w:rsidR="00A02695" w:rsidRDefault="00A02695" w:rsidP="005C3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3E65" w:rsidRDefault="005E192B">
    <w:pPr>
      <w:pStyle w:val="En-tte"/>
    </w:pPr>
    <w:r>
      <w:rPr>
        <w:noProof/>
      </w:rPr>
      <w:pict w14:anchorId="615DE31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81pt;height:58.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Do not exceed one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3E65" w:rsidRDefault="008B3FA1" w:rsidP="008B3FA1">
    <w:pPr>
      <w:pStyle w:val="En-tte"/>
      <w:jc w:val="center"/>
      <w:rPr>
        <w:rFonts w:ascii="Arial" w:hAnsi="Arial" w:cs="Arial"/>
        <w:b/>
        <w:color w:val="00B3DE"/>
        <w:sz w:val="52"/>
        <w:szCs w:val="52"/>
        <w:lang w:val="en-US"/>
      </w:rPr>
    </w:pPr>
    <w:r>
      <w:rPr>
        <w:rFonts w:ascii="Arial" w:hAnsi="Arial" w:cs="Arial"/>
        <w:b/>
        <w:color w:val="00B3DE"/>
        <w:sz w:val="52"/>
        <w:szCs w:val="52"/>
        <w:lang w:val="en-US"/>
      </w:rPr>
      <w:t>Open Position - Post Doc</w:t>
    </w:r>
  </w:p>
  <w:tbl>
    <w:tblPr>
      <w:tblW w:w="10615" w:type="dxa"/>
      <w:tblInd w:w="-774" w:type="dxa"/>
      <w:tblLook w:val="04A0" w:firstRow="1" w:lastRow="0" w:firstColumn="1" w:lastColumn="0" w:noHBand="0" w:noVBand="1"/>
    </w:tblPr>
    <w:tblGrid>
      <w:gridCol w:w="3538"/>
      <w:gridCol w:w="3538"/>
      <w:gridCol w:w="3539"/>
    </w:tblGrid>
    <w:tr w:rsidR="005C3E65" w:rsidRPr="003970D5" w:rsidTr="004759B0">
      <w:trPr>
        <w:trHeight w:val="642"/>
      </w:trPr>
      <w:tc>
        <w:tcPr>
          <w:tcW w:w="3538" w:type="dxa"/>
          <w:shd w:val="clear" w:color="auto" w:fill="auto"/>
        </w:tcPr>
        <w:p w:rsidR="005C3E65" w:rsidRPr="003970D5" w:rsidRDefault="008B3FA1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970C5C3" wp14:editId="43529F9E">
                <wp:extent cx="771525" cy="762000"/>
                <wp:effectExtent l="0" t="0" r="0" b="0"/>
                <wp:docPr id="1" name="Image 10" descr="cid:image008.png@01D5DCE8.236199E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8.png@01D5DCE8.236199E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8" w:type="dxa"/>
          <w:shd w:val="clear" w:color="auto" w:fill="auto"/>
        </w:tcPr>
        <w:p w:rsidR="005C3E65" w:rsidRPr="003970D5" w:rsidRDefault="005C3E65" w:rsidP="008B3FA1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</w:p>
      </w:tc>
      <w:tc>
        <w:tcPr>
          <w:tcW w:w="3539" w:type="dxa"/>
          <w:shd w:val="clear" w:color="auto" w:fill="auto"/>
        </w:tcPr>
        <w:p w:rsidR="005C3E65" w:rsidRPr="003970D5" w:rsidRDefault="008B3FA1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>
            <w:rPr>
              <w:rFonts w:ascii="Arial" w:hAnsi="Arial" w:cs="Arial"/>
              <w:i/>
              <w:noProof/>
              <w:lang w:val="fr-FR" w:eastAsia="fr-FR"/>
            </w:rPr>
            <w:drawing>
              <wp:inline distT="0" distB="0" distL="0" distR="0" wp14:anchorId="306439C0" wp14:editId="100856B1">
                <wp:extent cx="1536287" cy="705485"/>
                <wp:effectExtent l="0" t="0" r="6985" b="0"/>
                <wp:docPr id="2" name="Image 3" descr="C:\Users\sazzihat.IC_NT01\AppData\Local\Microsoft\Windows\INetCache\Content.MSO\1883117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zzihat.IC_NT01\AppData\Local\Microsoft\Windows\INetCache\Content.MSO\1883117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335" cy="710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E65" w:rsidRDefault="005C3E6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21541D0" wp14:editId="348ABD14">
              <wp:simplePos x="0" y="0"/>
              <wp:positionH relativeFrom="column">
                <wp:posOffset>-897466</wp:posOffset>
              </wp:positionH>
              <wp:positionV relativeFrom="paragraph">
                <wp:posOffset>12065</wp:posOffset>
              </wp:positionV>
              <wp:extent cx="7539990" cy="0"/>
              <wp:effectExtent l="38100" t="38100" r="29210" b="7620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9990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942092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A41BCA" id="Connecteur droit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70.65pt,.95pt" to="523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" strokecolor="#942092" strokeweight="2.75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592"/>
    <w:multiLevelType w:val="hybridMultilevel"/>
    <w:tmpl w:val="8AD0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5"/>
    <w:rsid w:val="001C188E"/>
    <w:rsid w:val="001F0E4D"/>
    <w:rsid w:val="00277D64"/>
    <w:rsid w:val="004D53B9"/>
    <w:rsid w:val="004E1D7E"/>
    <w:rsid w:val="005C3E65"/>
    <w:rsid w:val="005E192B"/>
    <w:rsid w:val="006B3184"/>
    <w:rsid w:val="006D5E5B"/>
    <w:rsid w:val="007B329C"/>
    <w:rsid w:val="008B3FA1"/>
    <w:rsid w:val="008B5422"/>
    <w:rsid w:val="00A0037D"/>
    <w:rsid w:val="00A02695"/>
    <w:rsid w:val="00B526D1"/>
    <w:rsid w:val="00BB42E0"/>
    <w:rsid w:val="00E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65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E65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5C3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3E65"/>
    <w:rPr>
      <w:rFonts w:ascii="Cambria" w:eastAsia="Cambria" w:hAnsi="Cambria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3E65"/>
    <w:rPr>
      <w:rFonts w:ascii="Cambria" w:eastAsia="Cambria" w:hAnsi="Cambria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8B3F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9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92B"/>
    <w:rPr>
      <w:rFonts w:ascii="Lucida Grande" w:eastAsia="Cambria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65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E65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5C3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3E65"/>
    <w:rPr>
      <w:rFonts w:ascii="Cambria" w:eastAsia="Cambria" w:hAnsi="Cambria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3E65"/>
    <w:rPr>
      <w:rFonts w:ascii="Cambria" w:eastAsia="Cambria" w:hAnsi="Cambria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8B3F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9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92B"/>
    <w:rPr>
      <w:rFonts w:ascii="Lucida Grande" w:eastAsia="Cambria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livier.Delattre@curie.fr" TargetMode="External"/><Relationship Id="rId9" Type="http://schemas.openxmlformats.org/officeDocument/2006/relationships/hyperlink" Target="mailto:sandy.azzi-hatem@curie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Emmanuelle Chollet</cp:lastModifiedBy>
  <cp:revision>2</cp:revision>
  <dcterms:created xsi:type="dcterms:W3CDTF">2020-03-18T14:19:00Z</dcterms:created>
  <dcterms:modified xsi:type="dcterms:W3CDTF">2020-03-18T14:19:00Z</dcterms:modified>
</cp:coreProperties>
</file>