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655"/>
        <w:gridCol w:w="35"/>
      </w:tblGrid>
      <w:tr w:rsidR="00560442" w14:paraId="1A8083D6" w14:textId="77777777" w:rsidTr="00631FF6">
        <w:trPr>
          <w:jc w:val="center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2943E" w14:textId="77777777" w:rsidR="00CF7C24" w:rsidRPr="00D00C9C" w:rsidRDefault="00CF7C24" w:rsidP="00CF7C24">
            <w:pPr>
              <w:spacing w:before="120" w:after="120"/>
              <w:jc w:val="both"/>
              <w:rPr>
                <w:rFonts w:cs="Arial"/>
              </w:rPr>
            </w:pPr>
            <w:r w:rsidRPr="00D00C9C"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93E50E3" wp14:editId="06B1D4E8">
                  <wp:simplePos x="0" y="0"/>
                  <wp:positionH relativeFrom="margin">
                    <wp:posOffset>4348480</wp:posOffset>
                  </wp:positionH>
                  <wp:positionV relativeFrom="margin">
                    <wp:posOffset>157480</wp:posOffset>
                  </wp:positionV>
                  <wp:extent cx="1037590" cy="61468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Pfiz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0C9C"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F4183D9" wp14:editId="3F6C052E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104140</wp:posOffset>
                  </wp:positionV>
                  <wp:extent cx="1720850" cy="713740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21281" y="20754"/>
                      <wp:lineTo x="2128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serm-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442">
              <w:rPr>
                <w:noProof/>
              </w:rPr>
              <w:t xml:space="preserve">                                  </w:t>
            </w:r>
          </w:p>
          <w:p w14:paraId="609DB3E9" w14:textId="77777777" w:rsidR="00CF7C24" w:rsidRPr="00D00C9C" w:rsidRDefault="00CF7C24" w:rsidP="00CF7C24">
            <w:pPr>
              <w:spacing w:before="120" w:after="120"/>
              <w:jc w:val="both"/>
              <w:rPr>
                <w:rFonts w:cs="Arial"/>
              </w:rPr>
            </w:pPr>
          </w:p>
          <w:p w14:paraId="1D0BE3FD" w14:textId="77777777" w:rsidR="00CF7C24" w:rsidRPr="00D00C9C" w:rsidRDefault="00CF7C24" w:rsidP="00CF7C24">
            <w:pPr>
              <w:spacing w:before="120" w:after="120"/>
              <w:jc w:val="both"/>
              <w:rPr>
                <w:rFonts w:cs="Arial"/>
              </w:rPr>
            </w:pPr>
          </w:p>
          <w:p w14:paraId="6C36326E" w14:textId="77777777" w:rsidR="00CF7C24" w:rsidRPr="00D00C9C" w:rsidRDefault="00CF7C24" w:rsidP="00CF7C24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  <w:p w14:paraId="763997C6" w14:textId="77777777" w:rsidR="00560442" w:rsidRDefault="00560442" w:rsidP="00CF7C24">
            <w:pPr>
              <w:ind w:left="290" w:right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BE8" w14:paraId="4794A89A" w14:textId="77777777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F4E7ACA" w14:textId="77777777" w:rsidR="00DA7BE8" w:rsidRPr="00560442" w:rsidRDefault="00DA7BE8" w:rsidP="00560442">
            <w:pPr>
              <w:ind w:left="290" w:right="2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40"/>
                <w:szCs w:val="40"/>
              </w:rPr>
              <w:t> </w:t>
            </w:r>
          </w:p>
          <w:p w14:paraId="10C96D41" w14:textId="77777777" w:rsidR="00DA7BE8" w:rsidRDefault="00DA7BE8" w:rsidP="00133B89">
            <w:pPr>
              <w:ind w:left="290" w:right="290"/>
              <w:jc w:val="both"/>
            </w:pPr>
          </w:p>
        </w:tc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1103C" w14:textId="77777777" w:rsidR="00E34BEF" w:rsidRPr="00560442" w:rsidRDefault="00DA7BE8">
            <w:pPr>
              <w:ind w:left="29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889B6B" w14:textId="77777777" w:rsidR="00DA7BE8" w:rsidRPr="00133B89" w:rsidRDefault="00133B89">
            <w:pPr>
              <w:ind w:left="290" w:right="185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33B89">
              <w:rPr>
                <w:rFonts w:ascii="Arial" w:hAnsi="Arial" w:cs="Arial"/>
                <w:b/>
                <w:bCs/>
                <w:sz w:val="40"/>
                <w:szCs w:val="40"/>
              </w:rPr>
              <w:t>Contrats doctoraux de l’école de l’Inserm – Pfizer Innovation France</w:t>
            </w:r>
          </w:p>
          <w:p w14:paraId="59BF5EF7" w14:textId="77777777" w:rsidR="00DA7BE8" w:rsidRDefault="00DA7BE8">
            <w:pPr>
              <w:ind w:left="290" w:right="185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 </w:t>
            </w:r>
          </w:p>
          <w:p w14:paraId="1DAB16C1" w14:textId="4C7104C0" w:rsidR="00DA7BE8" w:rsidRDefault="00674897" w:rsidP="00B73D6C">
            <w:pPr>
              <w:pStyle w:val="Titre1"/>
              <w:ind w:left="290" w:right="185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 xml:space="preserve">Appel </w:t>
            </w:r>
            <w:r w:rsidR="00964989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à candidatures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 xml:space="preserve"> </w:t>
            </w:r>
            <w:r w:rsidR="00566DFC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202</w:t>
            </w:r>
            <w:r w:rsidR="00B73D6C"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3</w:t>
            </w:r>
          </w:p>
        </w:tc>
      </w:tr>
      <w:tr w:rsidR="00DA7BE8" w14:paraId="49BE72B2" w14:textId="77777777">
        <w:trPr>
          <w:gridAfter w:val="1"/>
          <w:wAfter w:w="35" w:type="dxa"/>
          <w:jc w:val="center"/>
        </w:trPr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0885" w14:textId="77777777" w:rsidR="00DA7BE8" w:rsidRDefault="00DA7BE8">
            <w:pPr>
              <w:ind w:left="290" w:right="18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AF4915D" w14:textId="77777777" w:rsidR="00DA7BE8" w:rsidRPr="00435EB9" w:rsidRDefault="00DA7BE8" w:rsidP="00435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185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3379555B" w14:textId="7730B4F1" w:rsidR="00DD125D" w:rsidRDefault="00133B89" w:rsidP="00435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18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133B89">
              <w:rPr>
                <w:rFonts w:ascii="Arial" w:hAnsi="Arial" w:cs="Arial"/>
                <w:b/>
                <w:bCs/>
              </w:rPr>
              <w:t xml:space="preserve">’Inserm et le </w:t>
            </w:r>
            <w:r w:rsidR="005A6678">
              <w:rPr>
                <w:rFonts w:ascii="Arial" w:hAnsi="Arial" w:cs="Arial"/>
                <w:b/>
                <w:bCs/>
              </w:rPr>
              <w:t>F</w:t>
            </w:r>
            <w:r w:rsidRPr="00133B89">
              <w:rPr>
                <w:rFonts w:ascii="Arial" w:hAnsi="Arial" w:cs="Arial"/>
                <w:b/>
                <w:bCs/>
              </w:rPr>
              <w:t>onds de dotation Pfi</w:t>
            </w:r>
            <w:r>
              <w:rPr>
                <w:rFonts w:ascii="Arial" w:hAnsi="Arial" w:cs="Arial"/>
                <w:b/>
                <w:bCs/>
              </w:rPr>
              <w:t xml:space="preserve">zer Innovation France soutiennent les </w:t>
            </w:r>
            <w:r w:rsidRPr="00133B89">
              <w:rPr>
                <w:rFonts w:ascii="Arial" w:hAnsi="Arial" w:cs="Arial"/>
                <w:b/>
                <w:bCs/>
              </w:rPr>
              <w:t>ingénieur</w:t>
            </w:r>
            <w:r w:rsidR="00E572C6">
              <w:rPr>
                <w:rFonts w:ascii="Arial" w:hAnsi="Arial" w:cs="Arial"/>
                <w:b/>
                <w:bCs/>
              </w:rPr>
              <w:t>e</w:t>
            </w:r>
            <w:r w:rsidRPr="00133B89">
              <w:rPr>
                <w:rFonts w:ascii="Arial" w:hAnsi="Arial" w:cs="Arial"/>
                <w:b/>
                <w:bCs/>
              </w:rPr>
              <w:t xml:space="preserve">s </w:t>
            </w:r>
            <w:r w:rsidR="00E572C6">
              <w:rPr>
                <w:rFonts w:ascii="Arial" w:hAnsi="Arial" w:cs="Arial"/>
                <w:b/>
                <w:bCs/>
              </w:rPr>
              <w:t xml:space="preserve">et ingénieurs </w:t>
            </w:r>
            <w:r w:rsidRPr="00133B89">
              <w:rPr>
                <w:rFonts w:ascii="Arial" w:hAnsi="Arial" w:cs="Arial"/>
                <w:b/>
                <w:bCs/>
              </w:rPr>
              <w:t xml:space="preserve">qui souhaitent compléter leur formation initiale par </w:t>
            </w:r>
            <w:r>
              <w:rPr>
                <w:rFonts w:ascii="Arial" w:hAnsi="Arial" w:cs="Arial"/>
                <w:b/>
                <w:bCs/>
              </w:rPr>
              <w:t>la réalisation d’une thèse dans le</w:t>
            </w:r>
            <w:r w:rsidRPr="00133B89">
              <w:rPr>
                <w:rFonts w:ascii="Arial" w:hAnsi="Arial" w:cs="Arial"/>
                <w:b/>
                <w:bCs/>
              </w:rPr>
              <w:t xml:space="preserve"> domaine biomédical. Cette initiative, née de la volonté des deux partenaires de promouvoir l’interdisciplinarité au service d’une recherche fertile et source d’innovations, vise à favoriser l’intégration d’ingénieurs dans les laboratoires de recherche académiques.</w:t>
            </w:r>
          </w:p>
          <w:p w14:paraId="50CC6338" w14:textId="77777777" w:rsidR="00DA7BE8" w:rsidRDefault="00DA7BE8" w:rsidP="00435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90" w:right="18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C07290B" w14:textId="77777777" w:rsidR="00DA7BE8" w:rsidRDefault="00DA7BE8">
            <w:pPr>
              <w:ind w:left="290" w:right="18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7BE8" w14:paraId="13BC848C" w14:textId="77777777">
        <w:trPr>
          <w:gridAfter w:val="1"/>
          <w:wAfter w:w="35" w:type="dxa"/>
          <w:jc w:val="center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2FF7E" w14:textId="77777777" w:rsidR="00DA7BE8" w:rsidRDefault="00DA7BE8">
            <w:pPr>
              <w:pStyle w:val="Corpsdetexte"/>
              <w:ind w:left="290" w:right="290"/>
              <w:rPr>
                <w:rFonts w:ascii="Arial" w:hAnsi="Arial" w:cs="Arial"/>
                <w:sz w:val="20"/>
                <w:szCs w:val="20"/>
              </w:rPr>
            </w:pPr>
          </w:p>
          <w:p w14:paraId="67503CAB" w14:textId="756485CF" w:rsidR="00DA7BE8" w:rsidRPr="009205AB" w:rsidRDefault="00674897" w:rsidP="00004093">
            <w:pPr>
              <w:pStyle w:val="Corpsdetexte"/>
              <w:ind w:left="290" w:right="290"/>
              <w:rPr>
                <w:rFonts w:ascii="Arial" w:hAnsi="Arial" w:cs="Arial"/>
                <w:b/>
                <w:sz w:val="20"/>
                <w:szCs w:val="20"/>
              </w:rPr>
            </w:pPr>
            <w:r w:rsidRPr="00920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Ces contrats </w:t>
            </w:r>
            <w:r w:rsidRPr="009205AB">
              <w:rPr>
                <w:rFonts w:ascii="Arial" w:hAnsi="Arial" w:cs="Arial"/>
                <w:b/>
                <w:sz w:val="20"/>
                <w:szCs w:val="20"/>
              </w:rPr>
              <w:t>sont dest</w:t>
            </w:r>
            <w:r w:rsidR="007A6A64" w:rsidRPr="009205AB">
              <w:rPr>
                <w:rFonts w:ascii="Arial" w:hAnsi="Arial" w:cs="Arial"/>
                <w:b/>
                <w:sz w:val="20"/>
                <w:szCs w:val="20"/>
              </w:rPr>
              <w:t xml:space="preserve">inés </w:t>
            </w:r>
            <w:r w:rsidR="00004093">
              <w:rPr>
                <w:rFonts w:ascii="Arial" w:hAnsi="Arial" w:cs="Arial"/>
                <w:b/>
                <w:sz w:val="20"/>
                <w:szCs w:val="20"/>
              </w:rPr>
              <w:t xml:space="preserve">aux </w:t>
            </w:r>
            <w:r w:rsidR="00133B89">
              <w:rPr>
                <w:rFonts w:ascii="Arial" w:hAnsi="Arial" w:cs="Arial"/>
                <w:b/>
                <w:sz w:val="20"/>
                <w:szCs w:val="20"/>
              </w:rPr>
              <w:t>ingénieur</w:t>
            </w:r>
            <w:r w:rsidR="007D788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33B8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D788C">
              <w:rPr>
                <w:rFonts w:ascii="Arial" w:hAnsi="Arial" w:cs="Arial"/>
                <w:b/>
                <w:sz w:val="20"/>
                <w:szCs w:val="20"/>
              </w:rPr>
              <w:t xml:space="preserve"> et ingénieurs</w:t>
            </w:r>
            <w:r w:rsidR="00DD125D">
              <w:rPr>
                <w:rFonts w:ascii="Arial" w:hAnsi="Arial" w:cs="Arial"/>
                <w:b/>
                <w:sz w:val="20"/>
                <w:szCs w:val="20"/>
              </w:rPr>
              <w:t xml:space="preserve"> désireux de réaliser une thèse dans le domaine biomédical</w:t>
            </w:r>
            <w:r w:rsidR="007A6A64" w:rsidRPr="009205A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34594C" w14:textId="77777777" w:rsidR="00050643" w:rsidRPr="00050643" w:rsidRDefault="00050643" w:rsidP="009205AB">
            <w:pPr>
              <w:pStyle w:val="Titre2"/>
              <w:tabs>
                <w:tab w:val="left" w:pos="0"/>
              </w:tabs>
              <w:ind w:left="290" w:right="290"/>
              <w:jc w:val="both"/>
            </w:pPr>
          </w:p>
          <w:p w14:paraId="4F525EAC" w14:textId="77777777" w:rsidR="00050643" w:rsidRPr="00050643" w:rsidRDefault="00050643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5064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Durée du contrat </w:t>
            </w:r>
          </w:p>
          <w:p w14:paraId="2606D0D1" w14:textId="77777777" w:rsidR="00964989" w:rsidRDefault="00880E1B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CDD </w:t>
            </w:r>
            <w:r w:rsidR="0096498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60442">
              <w:rPr>
                <w:rFonts w:ascii="Arial" w:hAnsi="Arial" w:cs="Arial"/>
                <w:sz w:val="20"/>
                <w:szCs w:val="20"/>
              </w:rPr>
              <w:t xml:space="preserve">droit public de </w:t>
            </w:r>
            <w:r w:rsidR="00133B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96498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BE8">
              <w:rPr>
                <w:rFonts w:ascii="Arial" w:hAnsi="Arial" w:cs="Arial"/>
                <w:sz w:val="20"/>
                <w:szCs w:val="20"/>
              </w:rPr>
              <w:t>à plein te</w:t>
            </w:r>
            <w:r w:rsidR="00964989">
              <w:rPr>
                <w:rFonts w:ascii="Arial" w:hAnsi="Arial" w:cs="Arial"/>
                <w:sz w:val="20"/>
                <w:szCs w:val="20"/>
              </w:rPr>
              <w:t>mps.</w:t>
            </w:r>
          </w:p>
          <w:p w14:paraId="6E859DB7" w14:textId="77777777" w:rsidR="009205AB" w:rsidRDefault="009205AB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0073BD" w14:textId="77777777" w:rsidR="00CF6487" w:rsidRPr="00CF6487" w:rsidRDefault="00CF6487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487">
              <w:rPr>
                <w:rFonts w:ascii="Arial" w:hAnsi="Arial" w:cs="Arial"/>
                <w:b/>
                <w:color w:val="FF0000"/>
                <w:sz w:val="20"/>
                <w:szCs w:val="20"/>
              </w:rPr>
              <w:t>Rémunération</w:t>
            </w:r>
          </w:p>
          <w:p w14:paraId="0764CFB0" w14:textId="30282688" w:rsidR="00CF6487" w:rsidRDefault="00CD7E88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73D6C">
              <w:rPr>
                <w:rFonts w:ascii="Arial" w:hAnsi="Arial" w:cs="Arial"/>
                <w:sz w:val="20"/>
                <w:szCs w:val="20"/>
              </w:rPr>
              <w:t>uivant l</w:t>
            </w:r>
            <w:r w:rsidR="00B73D6C" w:rsidRPr="00B73D6C">
              <w:rPr>
                <w:rFonts w:ascii="Arial" w:hAnsi="Arial" w:cs="Arial"/>
                <w:sz w:val="20"/>
                <w:szCs w:val="20"/>
              </w:rPr>
              <w:t>'arrêté actant la revalorisation de la rémunération des contrats doctoraux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5AFA43" w14:textId="04FB87BF" w:rsidR="00CD7E88" w:rsidRDefault="00051AB4" w:rsidP="00050643">
            <w:pPr>
              <w:tabs>
                <w:tab w:val="left" w:pos="2268"/>
                <w:tab w:val="left" w:pos="2410"/>
              </w:tabs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7E88">
              <w:rPr>
                <w:rFonts w:ascii="Arial" w:hAnsi="Arial" w:cs="Arial"/>
                <w:sz w:val="20"/>
                <w:szCs w:val="20"/>
              </w:rPr>
              <w:t>2046,71€ brut mensuel</w:t>
            </w:r>
            <w:r w:rsidR="00CD7E88">
              <w:rPr>
                <w:rFonts w:ascii="Arial" w:hAnsi="Arial" w:cs="Arial"/>
                <w:sz w:val="20"/>
                <w:szCs w:val="20"/>
              </w:rPr>
              <w:t xml:space="preserve"> au 1</w:t>
            </w:r>
            <w:r w:rsidR="00CD7E88" w:rsidRPr="00CD7E8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CD7E88">
              <w:rPr>
                <w:rFonts w:ascii="Arial" w:hAnsi="Arial" w:cs="Arial"/>
                <w:sz w:val="20"/>
                <w:szCs w:val="20"/>
              </w:rPr>
              <w:t xml:space="preserve"> juillet 2022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8044FD" w14:textId="77777777" w:rsidR="00E34BEF" w:rsidRDefault="00E34BEF" w:rsidP="007A6A64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0E384A2" w14:textId="77777777" w:rsidR="00DD125D" w:rsidRDefault="00DD125D" w:rsidP="00E34BEF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Soutien au projet</w:t>
            </w:r>
          </w:p>
          <w:p w14:paraId="63643C2D" w14:textId="1E342C3E" w:rsidR="00DD125D" w:rsidRDefault="00DD125D" w:rsidP="00E34BEF">
            <w:pPr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dotation </w:t>
            </w:r>
            <w:r w:rsidR="0020615F">
              <w:rPr>
                <w:rFonts w:ascii="Arial" w:hAnsi="Arial" w:cs="Arial"/>
                <w:sz w:val="20"/>
                <w:szCs w:val="20"/>
              </w:rPr>
              <w:t>d’amorçage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20K€ sera allouée à l’Unité d’affectation pour soutenir l’activité de recherche.</w:t>
            </w:r>
          </w:p>
          <w:p w14:paraId="176577F8" w14:textId="77777777" w:rsidR="00DD125D" w:rsidRDefault="00DD125D" w:rsidP="00E34BEF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AB834F8" w14:textId="77777777" w:rsidR="00E34BEF" w:rsidRDefault="00E34BEF" w:rsidP="00E34BEF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Eligibilité </w:t>
            </w:r>
          </w:p>
          <w:p w14:paraId="77D4D9B1" w14:textId="7043CF52" w:rsidR="00E34BEF" w:rsidRDefault="00DC3926" w:rsidP="00E34BEF">
            <w:pPr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Elève issu d’une</w:t>
            </w:r>
            <w:r w:rsidR="00CD7E88">
              <w:rPr>
                <w:rFonts w:ascii="Arial" w:hAnsi="Arial" w:cs="Arial"/>
                <w:sz w:val="20"/>
                <w:szCs w:val="20"/>
              </w:rPr>
              <w:t xml:space="preserve"> 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E88" w:rsidRPr="00CD7E88">
              <w:rPr>
                <w:rFonts w:ascii="Arial" w:hAnsi="Arial" w:cs="Arial"/>
                <w:sz w:val="20"/>
                <w:szCs w:val="20"/>
              </w:rPr>
              <w:t>auprès d’un établissement accrédité à délivrer le titre d'ingénieur diplômé</w:t>
            </w:r>
            <w:r w:rsidR="00E34BEF">
              <w:rPr>
                <w:rFonts w:ascii="Arial" w:hAnsi="Arial" w:cs="Arial"/>
                <w:sz w:val="20"/>
                <w:szCs w:val="20"/>
              </w:rPr>
              <w:t xml:space="preserve"> titula</w:t>
            </w:r>
            <w:r w:rsidR="00004093">
              <w:rPr>
                <w:rFonts w:ascii="Arial" w:hAnsi="Arial" w:cs="Arial"/>
                <w:sz w:val="20"/>
                <w:szCs w:val="20"/>
              </w:rPr>
              <w:t xml:space="preserve">ire d’un </w:t>
            </w:r>
            <w:r w:rsidR="00DD125D">
              <w:rPr>
                <w:rFonts w:ascii="Arial" w:hAnsi="Arial" w:cs="Arial"/>
                <w:sz w:val="20"/>
                <w:szCs w:val="20"/>
              </w:rPr>
              <w:t xml:space="preserve">diplôme de niveau 7 (diplôme d’ingénieur ou Master) </w:t>
            </w:r>
            <w:r w:rsidR="00050643">
              <w:rPr>
                <w:rFonts w:ascii="Arial" w:hAnsi="Arial" w:cs="Arial"/>
                <w:sz w:val="20"/>
                <w:szCs w:val="20"/>
              </w:rPr>
              <w:t>à la date de prise de fonction.</w:t>
            </w:r>
          </w:p>
          <w:p w14:paraId="3BB06612" w14:textId="1D837FB6" w:rsidR="00E34BEF" w:rsidRPr="00E34BEF" w:rsidRDefault="0034455B" w:rsidP="00E34BEF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 contrats sont ouverts aux candidats sans distinction </w:t>
            </w:r>
            <w:r w:rsidR="00E34BEF">
              <w:rPr>
                <w:rFonts w:ascii="Arial" w:hAnsi="Arial" w:cs="Arial"/>
                <w:sz w:val="20"/>
                <w:szCs w:val="20"/>
              </w:rPr>
              <w:t>d’âge</w:t>
            </w:r>
            <w:r w:rsidR="005739AF">
              <w:rPr>
                <w:rFonts w:ascii="Arial" w:hAnsi="Arial" w:cs="Arial"/>
                <w:sz w:val="20"/>
                <w:szCs w:val="20"/>
              </w:rPr>
              <w:t>,</w:t>
            </w:r>
            <w:r w:rsidR="00E34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9AF">
              <w:rPr>
                <w:rFonts w:ascii="Arial" w:hAnsi="Arial" w:cs="Arial"/>
                <w:sz w:val="20"/>
                <w:szCs w:val="20"/>
              </w:rPr>
              <w:t xml:space="preserve">de sexe </w:t>
            </w:r>
            <w:r w:rsidR="00E34BEF">
              <w:rPr>
                <w:rFonts w:ascii="Arial" w:hAnsi="Arial" w:cs="Arial"/>
                <w:sz w:val="20"/>
                <w:szCs w:val="20"/>
              </w:rPr>
              <w:t>ou de nationalité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7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76F9DD" w14:textId="409355C5" w:rsidR="00DA7BE8" w:rsidRDefault="00DA7BE8">
            <w:pPr>
              <w:tabs>
                <w:tab w:val="left" w:pos="2127"/>
                <w:tab w:val="left" w:pos="2410"/>
              </w:tabs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48DC" w14:textId="77777777" w:rsidR="00DA7BE8" w:rsidRDefault="00DA7BE8">
            <w:pPr>
              <w:pStyle w:val="Corpsdetexte"/>
              <w:ind w:left="290" w:right="185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3FE04349" w14:textId="77777777" w:rsidR="007D788C" w:rsidRDefault="00E572C6" w:rsidP="00E572C6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 laboratoire d’accueil</w:t>
            </w:r>
            <w:r w:rsidR="007D78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:</w:t>
            </w:r>
          </w:p>
          <w:p w14:paraId="1B29094F" w14:textId="5708BED8" w:rsidR="00E572C6" w:rsidRDefault="007D788C" w:rsidP="00E572C6">
            <w:pPr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projet se déroulera dans u</w:t>
            </w:r>
            <w:r w:rsidR="00E572C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 Unité de</w:t>
            </w:r>
            <w:r w:rsidR="00E572C6">
              <w:rPr>
                <w:rFonts w:ascii="Arial" w:hAnsi="Arial" w:cs="Arial"/>
                <w:sz w:val="20"/>
                <w:szCs w:val="20"/>
              </w:rPr>
              <w:t xml:space="preserve"> l’Inserm, </w:t>
            </w:r>
            <w:r>
              <w:rPr>
                <w:rFonts w:ascii="Arial" w:hAnsi="Arial" w:cs="Arial"/>
                <w:sz w:val="20"/>
                <w:szCs w:val="20"/>
              </w:rPr>
              <w:t>ou dans le cadre d’une collaboration avec un laboratoire Inserm.</w:t>
            </w:r>
          </w:p>
          <w:p w14:paraId="720B2CD4" w14:textId="77777777" w:rsidR="00E572C6" w:rsidRDefault="00E572C6" w:rsidP="00C25F94">
            <w:pPr>
              <w:ind w:left="290" w:right="29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FB6A7EB" w14:textId="40EA20FA" w:rsidR="00050643" w:rsidRDefault="00DA7BE8" w:rsidP="007D788C">
            <w:pPr>
              <w:ind w:left="290"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La sélection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des candidats est fondée sur les critères suivants :</w:t>
            </w:r>
          </w:p>
          <w:p w14:paraId="7D54BB15" w14:textId="329E73F6" w:rsidR="00E34BEF" w:rsidRDefault="00566DFC" w:rsidP="00E34BEF">
            <w:pPr>
              <w:pStyle w:val="Corpsdetexte"/>
              <w:numPr>
                <w:ilvl w:val="0"/>
                <w:numId w:val="3"/>
              </w:numPr>
              <w:tabs>
                <w:tab w:val="num" w:pos="650"/>
              </w:tabs>
              <w:ind w:left="65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 w:rsidR="00DA7BE8">
              <w:rPr>
                <w:rFonts w:ascii="Arial" w:hAnsi="Arial" w:cs="Arial"/>
                <w:sz w:val="20"/>
                <w:szCs w:val="20"/>
              </w:rPr>
              <w:t xml:space="preserve"> scientifique du projet présenté par le candidat et adéquation au laboratoire d’accueil. Le projet doit absolument être personnalisé e</w:t>
            </w:r>
            <w:r w:rsidR="0038226E">
              <w:rPr>
                <w:rFonts w:ascii="Arial" w:hAnsi="Arial" w:cs="Arial"/>
                <w:sz w:val="20"/>
                <w:szCs w:val="20"/>
              </w:rPr>
              <w:t>t ne pas être celui de l’équipe,</w:t>
            </w:r>
          </w:p>
          <w:p w14:paraId="369A173B" w14:textId="620DFAE6" w:rsidR="00674897" w:rsidRDefault="00566DFC">
            <w:pPr>
              <w:pStyle w:val="Corpsdetexte"/>
              <w:numPr>
                <w:ilvl w:val="0"/>
                <w:numId w:val="3"/>
              </w:numPr>
              <w:tabs>
                <w:tab w:val="num" w:pos="650"/>
              </w:tabs>
              <w:ind w:left="65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Cursus</w:t>
            </w:r>
            <w:r w:rsidR="00DA7BE8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 w:rsidR="000A4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EB457B" w14:textId="5B278E73" w:rsidR="00DA7BE8" w:rsidRDefault="00566DFC" w:rsidP="00674897">
            <w:pPr>
              <w:pStyle w:val="Corpsdetexte"/>
              <w:numPr>
                <w:ilvl w:val="0"/>
                <w:numId w:val="3"/>
              </w:numPr>
              <w:tabs>
                <w:tab w:val="num" w:pos="650"/>
              </w:tabs>
              <w:ind w:left="65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Adéquation</w:t>
            </w:r>
            <w:r w:rsidR="00DA7BE8">
              <w:rPr>
                <w:rFonts w:ascii="Arial" w:hAnsi="Arial" w:cs="Arial"/>
                <w:sz w:val="20"/>
                <w:szCs w:val="20"/>
              </w:rPr>
              <w:t xml:space="preserve"> du p</w:t>
            </w:r>
            <w:r w:rsidR="00674897">
              <w:rPr>
                <w:rFonts w:ascii="Arial" w:hAnsi="Arial" w:cs="Arial"/>
                <w:sz w:val="20"/>
                <w:szCs w:val="20"/>
              </w:rPr>
              <w:t xml:space="preserve">rojet </w:t>
            </w:r>
            <w:r w:rsidR="000A45BB">
              <w:rPr>
                <w:rFonts w:ascii="Arial" w:hAnsi="Arial" w:cs="Arial"/>
                <w:sz w:val="20"/>
                <w:szCs w:val="20"/>
              </w:rPr>
              <w:t>aux missions de l’Inserm.</w:t>
            </w:r>
          </w:p>
          <w:p w14:paraId="07083FAF" w14:textId="77777777" w:rsidR="00880E1B" w:rsidRDefault="00880E1B">
            <w:pPr>
              <w:pStyle w:val="Corpsdetexte"/>
              <w:tabs>
                <w:tab w:val="num" w:pos="709"/>
              </w:tabs>
              <w:ind w:left="290" w:right="185"/>
              <w:rPr>
                <w:rFonts w:ascii="Arial" w:hAnsi="Arial" w:cs="Arial"/>
                <w:sz w:val="20"/>
                <w:szCs w:val="20"/>
              </w:rPr>
            </w:pPr>
          </w:p>
          <w:p w14:paraId="71F35BF1" w14:textId="77777777" w:rsidR="00CD7E88" w:rsidRDefault="00880E1B" w:rsidP="00CF6487">
            <w:pPr>
              <w:pStyle w:val="Corpsdetexte"/>
              <w:tabs>
                <w:tab w:val="num" w:pos="709"/>
              </w:tabs>
              <w:ind w:left="29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 </w:t>
            </w:r>
            <w:r w:rsidR="004E4910">
              <w:rPr>
                <w:rFonts w:ascii="Arial" w:hAnsi="Arial" w:cs="Arial"/>
                <w:sz w:val="20"/>
                <w:szCs w:val="20"/>
              </w:rPr>
              <w:t xml:space="preserve">sera </w:t>
            </w:r>
            <w:r w:rsidR="000D4F81">
              <w:rPr>
                <w:rFonts w:ascii="Arial" w:hAnsi="Arial" w:cs="Arial"/>
                <w:sz w:val="20"/>
                <w:szCs w:val="20"/>
              </w:rPr>
              <w:t>effectué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6487"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="001F50DB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5A6678">
              <w:rPr>
                <w:rFonts w:ascii="Arial" w:hAnsi="Arial" w:cs="Arial"/>
                <w:sz w:val="20"/>
                <w:szCs w:val="20"/>
              </w:rPr>
              <w:t>Comi</w:t>
            </w:r>
            <w:r w:rsidR="0020615F">
              <w:rPr>
                <w:rFonts w:ascii="Arial" w:hAnsi="Arial" w:cs="Arial"/>
                <w:sz w:val="20"/>
                <w:szCs w:val="20"/>
              </w:rPr>
              <w:t>t</w:t>
            </w:r>
            <w:r w:rsidR="005A6678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1F50DB">
              <w:rPr>
                <w:rFonts w:ascii="Arial" w:hAnsi="Arial" w:cs="Arial"/>
                <w:sz w:val="20"/>
                <w:szCs w:val="20"/>
              </w:rPr>
              <w:t xml:space="preserve">scientifique </w:t>
            </w:r>
            <w:r w:rsidR="005A6678">
              <w:rPr>
                <w:rFonts w:ascii="Arial" w:hAnsi="Arial" w:cs="Arial"/>
                <w:sz w:val="20"/>
                <w:szCs w:val="20"/>
              </w:rPr>
              <w:t xml:space="preserve">et pédagogique </w:t>
            </w:r>
            <w:r w:rsidR="001F50D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F50DB" w:rsidRPr="001F50DB">
              <w:rPr>
                <w:rFonts w:ascii="Arial" w:hAnsi="Arial" w:cs="Arial"/>
                <w:sz w:val="20"/>
                <w:szCs w:val="20"/>
              </w:rPr>
              <w:t>l’Ecole</w:t>
            </w:r>
            <w:r w:rsidR="005A6678">
              <w:rPr>
                <w:rFonts w:ascii="Arial" w:hAnsi="Arial" w:cs="Arial"/>
                <w:sz w:val="20"/>
                <w:szCs w:val="20"/>
              </w:rPr>
              <w:t xml:space="preserve"> de l’Inserm – Pfizer Innovation France</w:t>
            </w:r>
            <w:r w:rsidR="001F50DB">
              <w:rPr>
                <w:rFonts w:ascii="Arial" w:hAnsi="Arial" w:cs="Arial"/>
                <w:sz w:val="20"/>
                <w:szCs w:val="20"/>
              </w:rPr>
              <w:t>.</w:t>
            </w:r>
            <w:r w:rsidR="001F0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B643B0" w14:textId="3A494911" w:rsidR="00CD7E88" w:rsidRPr="00CD7E88" w:rsidRDefault="001F0CBA" w:rsidP="00CF6487">
            <w:pPr>
              <w:pStyle w:val="Corpsdetexte"/>
              <w:tabs>
                <w:tab w:val="num" w:pos="709"/>
              </w:tabs>
              <w:ind w:left="290" w:right="18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0CBA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CD7E88">
              <w:rPr>
                <w:rFonts w:ascii="Arial" w:hAnsi="Arial" w:cs="Arial"/>
                <w:sz w:val="20"/>
                <w:szCs w:val="20"/>
              </w:rPr>
              <w:t xml:space="preserve"> pha</w:t>
            </w:r>
            <w:bookmarkStart w:id="0" w:name="_GoBack"/>
            <w:bookmarkEnd w:id="0"/>
            <w:r w:rsidR="00CD7E88">
              <w:rPr>
                <w:rFonts w:ascii="Arial" w:hAnsi="Arial" w:cs="Arial"/>
                <w:sz w:val="20"/>
                <w:szCs w:val="20"/>
              </w:rPr>
              <w:t xml:space="preserve">se : sélection sur dossier </w:t>
            </w:r>
            <w:r w:rsidR="00CD7E88" w:rsidRPr="00CD7E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 juin 2023</w:t>
            </w:r>
          </w:p>
          <w:p w14:paraId="627FBE71" w14:textId="3E4598FF" w:rsidR="00CF6487" w:rsidRPr="007A6A64" w:rsidRDefault="001F0CBA" w:rsidP="00CF6487">
            <w:pPr>
              <w:pStyle w:val="Corpsdetexte"/>
              <w:tabs>
                <w:tab w:val="num" w:pos="709"/>
              </w:tabs>
              <w:ind w:left="29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0CBA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 </w:t>
            </w:r>
            <w:r w:rsidRPr="00B455B0">
              <w:rPr>
                <w:rFonts w:ascii="Arial" w:hAnsi="Arial" w:cs="Arial"/>
                <w:sz w:val="20"/>
                <w:szCs w:val="20"/>
              </w:rPr>
              <w:t>entretien avec les candidats retenus après la 1</w:t>
            </w:r>
            <w:r w:rsidRPr="00B455B0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B455B0">
              <w:rPr>
                <w:rFonts w:ascii="Arial" w:hAnsi="Arial" w:cs="Arial"/>
                <w:sz w:val="20"/>
                <w:szCs w:val="20"/>
              </w:rPr>
              <w:t xml:space="preserve"> phase le </w:t>
            </w:r>
            <w:r w:rsidR="00B455B0" w:rsidRPr="00B455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55B0">
              <w:rPr>
                <w:rFonts w:ascii="Arial" w:hAnsi="Arial" w:cs="Arial"/>
                <w:b/>
                <w:sz w:val="20"/>
                <w:szCs w:val="20"/>
              </w:rPr>
              <w:t>6 juin</w:t>
            </w:r>
            <w:r w:rsidRPr="00B4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5B0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D7E8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455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B9D2C9" w14:textId="77777777" w:rsidR="00DA7BE8" w:rsidRDefault="00DA7BE8">
            <w:pPr>
              <w:ind w:left="290" w:right="1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84BC6" w14:textId="77777777" w:rsidR="00C25F94" w:rsidRDefault="00C25F94">
            <w:pPr>
              <w:ind w:left="290" w:right="1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CB099" w14:textId="1A6976F7" w:rsidR="00DA7BE8" w:rsidRDefault="00DA7BE8">
            <w:pPr>
              <w:ind w:left="290" w:righ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Prise de fonction</w:t>
            </w:r>
            <w:r>
              <w:rPr>
                <w:rFonts w:ascii="Arial" w:hAnsi="Arial" w:cs="Arial"/>
                <w:sz w:val="20"/>
                <w:szCs w:val="20"/>
              </w:rPr>
              <w:t> : à partir du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880E1B">
              <w:rPr>
                <w:rFonts w:ascii="Arial" w:hAnsi="Arial" w:cs="Arial"/>
                <w:sz w:val="20"/>
                <w:szCs w:val="20"/>
              </w:rPr>
              <w:t xml:space="preserve"> octobre</w:t>
            </w:r>
            <w:r w:rsidR="0000409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33B89">
              <w:rPr>
                <w:rFonts w:ascii="Arial" w:hAnsi="Arial" w:cs="Arial"/>
                <w:sz w:val="20"/>
                <w:szCs w:val="20"/>
              </w:rPr>
              <w:t>2</w:t>
            </w:r>
            <w:r w:rsidR="00CD7E88">
              <w:rPr>
                <w:rFonts w:ascii="Arial" w:hAnsi="Arial" w:cs="Arial"/>
                <w:sz w:val="20"/>
                <w:szCs w:val="20"/>
              </w:rPr>
              <w:t>3</w:t>
            </w:r>
            <w:r w:rsidR="00BF6BA8">
              <w:rPr>
                <w:rFonts w:ascii="Arial" w:hAnsi="Arial" w:cs="Arial"/>
                <w:sz w:val="20"/>
                <w:szCs w:val="20"/>
              </w:rPr>
              <w:t xml:space="preserve"> (sous réserve de l’attestation d</w:t>
            </w:r>
            <w:r w:rsidR="00540FC5">
              <w:rPr>
                <w:rFonts w:ascii="Arial" w:hAnsi="Arial" w:cs="Arial"/>
                <w:sz w:val="20"/>
                <w:szCs w:val="20"/>
              </w:rPr>
              <w:t>’inscription à l’école doctorale</w:t>
            </w:r>
            <w:r w:rsidR="00BF6BA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A0D8538" w14:textId="3D671353" w:rsidR="00DA7BE8" w:rsidRDefault="00DA7BE8" w:rsidP="00CD7E88">
            <w:pPr>
              <w:ind w:left="290" w:righ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BE8" w14:paraId="0A6544C1" w14:textId="77777777" w:rsidTr="002A7A54">
        <w:trPr>
          <w:gridAfter w:val="1"/>
          <w:wAfter w:w="35" w:type="dxa"/>
          <w:trHeight w:val="1727"/>
          <w:jc w:val="center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A21C" w14:textId="77777777" w:rsidR="00DA7BE8" w:rsidRDefault="00DA7BE8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E98EF4E" w14:textId="60D95522" w:rsidR="00DA7BE8" w:rsidRDefault="00A93863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Dossier</w:t>
            </w:r>
            <w:r w:rsidR="007A6A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de candidature et modalités</w:t>
            </w:r>
            <w:r w:rsidR="00DA7BE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</w:p>
          <w:p w14:paraId="0CA3EAB9" w14:textId="71B035B8" w:rsidR="00063605" w:rsidRPr="00063605" w:rsidRDefault="00063605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605">
              <w:rPr>
                <w:rFonts w:ascii="Arial" w:hAnsi="Arial" w:cs="Arial"/>
                <w:b/>
                <w:bCs/>
                <w:sz w:val="20"/>
                <w:szCs w:val="20"/>
              </w:rPr>
              <w:t>https://www.inserm.fr/actualite/contrats-doctoraux-ecole-inserm-pfizer-innovation-france-appel-candidatures/</w:t>
            </w:r>
          </w:p>
          <w:p w14:paraId="12CA5CFC" w14:textId="785DF6BA" w:rsidR="00063605" w:rsidRDefault="00063605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7CF2CD7" w14:textId="782FE7B7" w:rsidR="00063605" w:rsidRDefault="00063605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Renseignements :</w:t>
            </w:r>
          </w:p>
          <w:p w14:paraId="5309A6AC" w14:textId="77777777" w:rsidR="00A86E78" w:rsidRPr="00BB5D8C" w:rsidRDefault="005739AF" w:rsidP="00A86E78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DC3926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eipi@inserm.fr</w:t>
              </w:r>
            </w:hyperlink>
          </w:p>
          <w:p w14:paraId="344BEAE1" w14:textId="77777777" w:rsidR="00A86E78" w:rsidRPr="002F3E7B" w:rsidRDefault="00A86E78" w:rsidP="00A86E78">
            <w:pPr>
              <w:tabs>
                <w:tab w:val="left" w:pos="1701"/>
              </w:tabs>
              <w:ind w:left="290" w:right="185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E7DC6" w14:textId="77777777" w:rsidR="00F75EE2" w:rsidRPr="00560442" w:rsidRDefault="00DA7BE8" w:rsidP="00560442">
            <w:pPr>
              <w:ind w:left="290" w:right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2ABEC13" w14:textId="65ADABF1" w:rsidR="00F75EE2" w:rsidRPr="00880E1B" w:rsidRDefault="00F75EE2" w:rsidP="00063605">
            <w:pPr>
              <w:pStyle w:val="Corpsdetexte"/>
              <w:ind w:left="290" w:right="1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Date limite de dépôt des candidatures</w:t>
            </w:r>
          </w:p>
          <w:p w14:paraId="688C51E4" w14:textId="43E3E96B" w:rsidR="00560442" w:rsidRPr="00560442" w:rsidRDefault="00CD7E88" w:rsidP="00063605">
            <w:pPr>
              <w:pStyle w:val="Corpsdetexte"/>
              <w:ind w:left="290" w:right="1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19</w:t>
            </w:r>
            <w:r w:rsidR="00956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A1557" w:rsidRPr="001D22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17 heures</w:t>
            </w:r>
            <w:r w:rsidR="00063605">
              <w:t xml:space="preserve"> </w:t>
            </w:r>
            <w:r w:rsidR="000636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le site ci-dessous </w:t>
            </w:r>
            <w:r w:rsidR="00560442" w:rsidRPr="001D22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3B4622D" w14:textId="77777777" w:rsidR="00063605" w:rsidRPr="00063605" w:rsidRDefault="005739AF" w:rsidP="000636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14"/>
                <w:tab w:val="left" w:pos="9639"/>
              </w:tabs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063605" w:rsidRPr="00063605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/>
                </w:rPr>
                <w:t>www.gaia2.inserm.fr</w:t>
              </w:r>
            </w:hyperlink>
          </w:p>
          <w:p w14:paraId="6A2E927C" w14:textId="77777777" w:rsidR="00DC3926" w:rsidRDefault="00DC3926">
            <w:pPr>
              <w:pStyle w:val="Corpsdetexte"/>
              <w:ind w:left="290" w:right="185"/>
            </w:pPr>
          </w:p>
          <w:p w14:paraId="5045373F" w14:textId="77777777" w:rsidR="00DA7BE8" w:rsidRPr="002F3E7B" w:rsidRDefault="00015344" w:rsidP="002F3E7B">
            <w:pPr>
              <w:pStyle w:val="Corpsdetexte"/>
              <w:ind w:left="290" w:righ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A0B63EC" w14:textId="77777777" w:rsidR="00DA7BE8" w:rsidRDefault="00DA7BE8" w:rsidP="00CF7C24">
      <w:pPr>
        <w:jc w:val="both"/>
      </w:pPr>
    </w:p>
    <w:sectPr w:rsidR="00DA7BE8" w:rsidSect="002F3E7B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AC66" w14:textId="77777777" w:rsidR="00205946" w:rsidRDefault="00205946" w:rsidP="00964989">
      <w:r>
        <w:separator/>
      </w:r>
    </w:p>
  </w:endnote>
  <w:endnote w:type="continuationSeparator" w:id="0">
    <w:p w14:paraId="7A37D5AC" w14:textId="77777777" w:rsidR="00205946" w:rsidRDefault="00205946" w:rsidP="0096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4E2F" w14:textId="77777777" w:rsidR="00205946" w:rsidRDefault="00205946" w:rsidP="00964989">
      <w:r>
        <w:separator/>
      </w:r>
    </w:p>
  </w:footnote>
  <w:footnote w:type="continuationSeparator" w:id="0">
    <w:p w14:paraId="690F0B62" w14:textId="77777777" w:rsidR="00205946" w:rsidRDefault="00205946" w:rsidP="0096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803"/>
    <w:multiLevelType w:val="hybridMultilevel"/>
    <w:tmpl w:val="B79694FA"/>
    <w:lvl w:ilvl="0" w:tplc="040C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AE83395"/>
    <w:multiLevelType w:val="hybridMultilevel"/>
    <w:tmpl w:val="332ED132"/>
    <w:lvl w:ilvl="0" w:tplc="1A4AE272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hAnsi="Tahoma"/>
      </w:rPr>
    </w:lvl>
    <w:lvl w:ilvl="1" w:tplc="040C0003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DF148AD"/>
    <w:multiLevelType w:val="hybridMultilevel"/>
    <w:tmpl w:val="AC26CE82"/>
    <w:lvl w:ilvl="0" w:tplc="EFA2C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</w:rPr>
    </w:lvl>
    <w:lvl w:ilvl="1" w:tplc="1A4AE2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7"/>
    <w:rsid w:val="00004093"/>
    <w:rsid w:val="00015344"/>
    <w:rsid w:val="00050643"/>
    <w:rsid w:val="00051AB4"/>
    <w:rsid w:val="00063605"/>
    <w:rsid w:val="00095F4A"/>
    <w:rsid w:val="000A45BB"/>
    <w:rsid w:val="000B658A"/>
    <w:rsid w:val="000D4F81"/>
    <w:rsid w:val="0012597C"/>
    <w:rsid w:val="00127DA8"/>
    <w:rsid w:val="00133B89"/>
    <w:rsid w:val="001D0CB7"/>
    <w:rsid w:val="001D22B6"/>
    <w:rsid w:val="001F0CBA"/>
    <w:rsid w:val="001F50DB"/>
    <w:rsid w:val="00204B2D"/>
    <w:rsid w:val="00205946"/>
    <w:rsid w:val="0020615F"/>
    <w:rsid w:val="00260297"/>
    <w:rsid w:val="002A7A54"/>
    <w:rsid w:val="002F3E7B"/>
    <w:rsid w:val="0034455B"/>
    <w:rsid w:val="0038226E"/>
    <w:rsid w:val="00435EB9"/>
    <w:rsid w:val="004E4910"/>
    <w:rsid w:val="005159EA"/>
    <w:rsid w:val="00523506"/>
    <w:rsid w:val="00535E37"/>
    <w:rsid w:val="00540FC5"/>
    <w:rsid w:val="00560442"/>
    <w:rsid w:val="00566DFC"/>
    <w:rsid w:val="005739AF"/>
    <w:rsid w:val="005A6678"/>
    <w:rsid w:val="00612F2D"/>
    <w:rsid w:val="00674897"/>
    <w:rsid w:val="006A1557"/>
    <w:rsid w:val="007A6A64"/>
    <w:rsid w:val="007C1F6A"/>
    <w:rsid w:val="007D788C"/>
    <w:rsid w:val="0081141C"/>
    <w:rsid w:val="00880E1B"/>
    <w:rsid w:val="009205AB"/>
    <w:rsid w:val="00956B13"/>
    <w:rsid w:val="00964989"/>
    <w:rsid w:val="009A220B"/>
    <w:rsid w:val="009E3D98"/>
    <w:rsid w:val="00A86E78"/>
    <w:rsid w:val="00A93863"/>
    <w:rsid w:val="00B455B0"/>
    <w:rsid w:val="00B50108"/>
    <w:rsid w:val="00B53197"/>
    <w:rsid w:val="00B73D6C"/>
    <w:rsid w:val="00B86F2E"/>
    <w:rsid w:val="00BB5D8C"/>
    <w:rsid w:val="00BF6BA8"/>
    <w:rsid w:val="00C10B88"/>
    <w:rsid w:val="00C25F94"/>
    <w:rsid w:val="00C641F8"/>
    <w:rsid w:val="00CD76A1"/>
    <w:rsid w:val="00CD7E88"/>
    <w:rsid w:val="00CF6487"/>
    <w:rsid w:val="00CF7C24"/>
    <w:rsid w:val="00D01ECF"/>
    <w:rsid w:val="00D321BF"/>
    <w:rsid w:val="00D504FD"/>
    <w:rsid w:val="00DA7BE8"/>
    <w:rsid w:val="00DC3926"/>
    <w:rsid w:val="00DD125D"/>
    <w:rsid w:val="00E34BEF"/>
    <w:rsid w:val="00E572C6"/>
    <w:rsid w:val="00E62DCC"/>
    <w:rsid w:val="00E73673"/>
    <w:rsid w:val="00E75E9A"/>
    <w:rsid w:val="00ED0485"/>
    <w:rsid w:val="00F3728C"/>
    <w:rsid w:val="00F75EE2"/>
    <w:rsid w:val="00F908BB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DDF64"/>
  <w15:docId w15:val="{13E14EA2-922C-4B88-B187-DCA784CF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eastAsia="Arial Unicode MS" w:hAnsi="Century Gothic" w:cs="Arial Unicode MS"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eastAsia="Arial Unicode MS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Times" w:hAnsi="Times" w:cs="Times"/>
    </w:rPr>
  </w:style>
  <w:style w:type="character" w:customStyle="1" w:styleId="style11">
    <w:name w:val="style11"/>
    <w:rPr>
      <w:sz w:val="64"/>
      <w:szCs w:val="64"/>
    </w:rPr>
  </w:style>
  <w:style w:type="character" w:customStyle="1" w:styleId="style21">
    <w:name w:val="style21"/>
    <w:rPr>
      <w:color w:val="0000FF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rsid w:val="00964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64989"/>
    <w:rPr>
      <w:sz w:val="24"/>
      <w:szCs w:val="24"/>
    </w:rPr>
  </w:style>
  <w:style w:type="paragraph" w:styleId="Pieddepage">
    <w:name w:val="footer"/>
    <w:basedOn w:val="Normal"/>
    <w:link w:val="PieddepageCar"/>
    <w:rsid w:val="009649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498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DD125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12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125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12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125D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DD1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D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ia2.inser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pi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2564</CharactersWithSpaces>
  <SharedDoc>false</SharedDoc>
  <HLinks>
    <vt:vector size="18" baseType="variant">
      <vt:variant>
        <vt:i4>3342421</vt:i4>
      </vt:variant>
      <vt:variant>
        <vt:i4>6</vt:i4>
      </vt:variant>
      <vt:variant>
        <vt:i4>0</vt:i4>
      </vt:variant>
      <vt:variant>
        <vt:i4>5</vt:i4>
      </vt:variant>
      <vt:variant>
        <vt:lpwstr>mailto:marc.cressant@tinserm.fr</vt:lpwstr>
      </vt:variant>
      <vt:variant>
        <vt:lpwstr/>
      </vt:variant>
      <vt:variant>
        <vt:i4>118</vt:i4>
      </vt:variant>
      <vt:variant>
        <vt:i4>3</vt:i4>
      </vt:variant>
      <vt:variant>
        <vt:i4>0</vt:i4>
      </vt:variant>
      <vt:variant>
        <vt:i4>5</vt:i4>
      </vt:variant>
      <vt:variant>
        <vt:lpwstr>mailto:christiane.durieux@inserm.fr</vt:lpwstr>
      </vt:variant>
      <vt:variant>
        <vt:lpwstr/>
      </vt:variant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http://www.eva.inserm.fr/AppelsOffres/POSTACC/MainPOSTACC.htm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CRESSANTM</dc:creator>
  <cp:lastModifiedBy>Pierre-Yves HOLTZMANN</cp:lastModifiedBy>
  <cp:revision>3</cp:revision>
  <cp:lastPrinted>2019-03-27T09:05:00Z</cp:lastPrinted>
  <dcterms:created xsi:type="dcterms:W3CDTF">2023-04-03T12:42:00Z</dcterms:created>
  <dcterms:modified xsi:type="dcterms:W3CDTF">2023-04-03T12:43:00Z</dcterms:modified>
</cp:coreProperties>
</file>