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pos="708"/>
        </w:tabs>
        <w:spacing w:after="60" w:before="1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"/>
        </w:tabs>
        <w:spacing w:after="60" w:before="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5.0" w:type="dxa"/>
        <w:tblLayout w:type="fixed"/>
        <w:tblLook w:val="0000"/>
      </w:tblPr>
      <w:tblGrid>
        <w:gridCol w:w="2344"/>
        <w:gridCol w:w="2312"/>
        <w:gridCol w:w="1835"/>
        <w:gridCol w:w="2582"/>
        <w:gridCol w:w="2147"/>
        <w:tblGridChange w:id="0">
          <w:tblGrid>
            <w:gridCol w:w="2344"/>
            <w:gridCol w:w="2312"/>
            <w:gridCol w:w="1835"/>
            <w:gridCol w:w="2582"/>
            <w:gridCol w:w="2147"/>
          </w:tblGrid>
        </w:tblGridChange>
      </w:tblGrid>
      <w:tr>
        <w:trPr>
          <w:cantSplit w:val="0"/>
          <w:trHeight w:val="1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242695" cy="421005"/>
                  <wp:effectExtent b="0" l="0" r="0" t="0"/>
                  <wp:docPr descr="Accueil" id="4" name="image2.png"/>
                  <a:graphic>
                    <a:graphicData uri="http://schemas.openxmlformats.org/drawingml/2006/picture">
                      <pic:pic>
                        <pic:nvPicPr>
                          <pic:cNvPr descr="Accueil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421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f48335"/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f48335"/>
                <w:sz w:val="16"/>
                <w:szCs w:val="16"/>
                <w:rtl w:val="0"/>
              </w:rPr>
              <w:t xml:space="preserve">ITMO Génétique, génomique </w:t>
              <w:br w:type="textWrapping"/>
              <w:t xml:space="preserve">et bio-informatique (GGB)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tabs>
                <w:tab w:val="left" w:pos="708"/>
              </w:tabs>
              <w:spacing w:after="0" w:before="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</w:rPr>
              <w:drawing>
                <wp:inline distB="114300" distT="114300" distL="114300" distR="114300">
                  <wp:extent cx="4124325" cy="10160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tabs>
                <w:tab w:val="left" w:pos="708"/>
              </w:tabs>
              <w:spacing w:after="0" w:before="0" w:lineRule="auto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Photo W. 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19200" cy="6096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color w:val="2b9bec"/>
                <w:sz w:val="16"/>
                <w:szCs w:val="16"/>
                <w:rtl w:val="0"/>
              </w:rPr>
              <w:t xml:space="preserve">Institut Français de Bioinformatique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tabs>
          <w:tab w:val="left" w:pos="708"/>
        </w:tabs>
        <w:spacing w:after="80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11</w:t>
      </w:r>
      <w:r w:rsidDel="00000000" w:rsidR="00000000" w:rsidRPr="00000000">
        <w:rPr>
          <w:b w:val="1"/>
          <w:sz w:val="26"/>
          <w:szCs w:val="26"/>
          <w:vertAlign w:val="superscript"/>
          <w:rtl w:val="0"/>
        </w:rPr>
        <w:t xml:space="preserve">ème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Ecole de bioinformatique AVIESAN – IFB – Inserm </w:t>
      </w:r>
      <w:r w:rsidDel="00000000" w:rsidR="00000000" w:rsidRPr="00000000">
        <w:rPr>
          <w:b w:val="1"/>
          <w:sz w:val="26"/>
          <w:szCs w:val="26"/>
          <w:rtl w:val="0"/>
        </w:rPr>
        <w:t xml:space="preserve">Niveau1 (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26"/>
          <w:szCs w:val="26"/>
          <w:rtl w:val="0"/>
        </w:rPr>
        <w:t xml:space="preserve">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708"/>
        </w:tabs>
        <w:spacing w:after="8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4b7ebf"/>
          <w:sz w:val="26"/>
          <w:szCs w:val="26"/>
          <w:rtl w:val="0"/>
        </w:rPr>
        <w:t xml:space="preserve">T</w:t>
      </w:r>
      <w:r w:rsidDel="00000000" w:rsidR="00000000" w:rsidRPr="00000000">
        <w:rPr>
          <w:b w:val="1"/>
          <w:color w:val="4b7ebf"/>
          <w:sz w:val="26"/>
          <w:szCs w:val="26"/>
          <w:vertAlign w:val="baseline"/>
          <w:rtl w:val="0"/>
        </w:rPr>
        <w:t xml:space="preserve">raitement</w:t>
      </w:r>
      <w:r w:rsidDel="00000000" w:rsidR="00000000" w:rsidRPr="00000000">
        <w:rPr>
          <w:b w:val="1"/>
          <w:color w:val="4b7ebf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4b7ebf"/>
          <w:sz w:val="26"/>
          <w:szCs w:val="26"/>
          <w:vertAlign w:val="baseline"/>
          <w:rtl w:val="0"/>
        </w:rPr>
        <w:t xml:space="preserve">des données de génomique</w:t>
      </w:r>
      <w:r w:rsidDel="00000000" w:rsidR="00000000" w:rsidRPr="00000000">
        <w:rPr>
          <w:color w:val="4b7ebf"/>
          <w:rtl w:val="0"/>
        </w:rPr>
        <w:t xml:space="preserve"> </w:t>
      </w:r>
      <w:r w:rsidDel="00000000" w:rsidR="00000000" w:rsidRPr="00000000">
        <w:rPr>
          <w:b w:val="1"/>
          <w:color w:val="4b7ebf"/>
          <w:sz w:val="26"/>
          <w:szCs w:val="26"/>
          <w:vertAlign w:val="baseline"/>
          <w:rtl w:val="0"/>
        </w:rPr>
        <w:t xml:space="preserve">obtenues par séquençage à haut débit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left" w:pos="708"/>
        </w:tabs>
        <w:spacing w:after="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  <w:t xml:space="preserve">13-18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novembre</w:t>
      </w:r>
      <w:r w:rsidDel="00000000" w:rsidR="00000000" w:rsidRPr="00000000">
        <w:rPr>
          <w:vertAlign w:val="baseline"/>
          <w:rtl w:val="0"/>
        </w:rPr>
        <w:t xml:space="preserve">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, Station Biologique, Roscoff (</w:t>
      </w:r>
      <w:hyperlink r:id="rId9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http://www.sb-roscoff.fr/</w:t>
        </w:r>
      </w:hyperlink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pStyle w:val="Heading1"/>
        <w:pageBreakBefore w:val="0"/>
        <w:rPr/>
      </w:pPr>
      <w:bookmarkStart w:colFirst="0" w:colLast="0" w:name="_4o6a88xh7foo" w:id="0"/>
      <w:bookmarkEnd w:id="0"/>
      <w:r w:rsidDel="00000000" w:rsidR="00000000" w:rsidRPr="00000000">
        <w:rPr>
          <w:rtl w:val="0"/>
        </w:rPr>
        <w:t xml:space="preserve">Objectifs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jc w:val="both"/>
        <w:rPr/>
      </w:pPr>
      <w:r w:rsidDel="00000000" w:rsidR="00000000" w:rsidRPr="00000000">
        <w:rPr>
          <w:rtl w:val="0"/>
        </w:rPr>
        <w:t xml:space="preserve">La formation s’adresse à des </w:t>
      </w:r>
      <w:r w:rsidDel="00000000" w:rsidR="00000000" w:rsidRPr="00000000">
        <w:rPr>
          <w:rtl w:val="0"/>
        </w:rPr>
        <w:t xml:space="preserve">biologistes</w:t>
      </w:r>
      <w:r w:rsidDel="00000000" w:rsidR="00000000" w:rsidRPr="00000000">
        <w:rPr>
          <w:rtl w:val="0"/>
        </w:rPr>
        <w:t xml:space="preserve"> directement impliqués dans des projets</w:t>
      </w:r>
      <w:r w:rsidDel="00000000" w:rsidR="00000000" w:rsidRPr="00000000">
        <w:rPr>
          <w:color w:val="666666"/>
          <w:rtl w:val="0"/>
        </w:rPr>
        <w:t xml:space="preserve"> “</w:t>
      </w:r>
      <w:r w:rsidDel="00000000" w:rsidR="00000000" w:rsidRPr="00000000">
        <w:rPr>
          <w:b w:val="1"/>
          <w:color w:val="666666"/>
          <w:rtl w:val="0"/>
        </w:rPr>
        <w:t xml:space="preserve">Next Generation Sequencing</w:t>
      </w:r>
      <w:r w:rsidDel="00000000" w:rsidR="00000000" w:rsidRPr="00000000">
        <w:rPr>
          <w:color w:val="666666"/>
          <w:rtl w:val="0"/>
        </w:rPr>
        <w:t xml:space="preserve">” (</w:t>
      </w:r>
      <w:r w:rsidDel="00000000" w:rsidR="00000000" w:rsidRPr="00000000">
        <w:rPr>
          <w:b w:val="1"/>
          <w:color w:val="666666"/>
          <w:rtl w:val="0"/>
        </w:rPr>
        <w:t xml:space="preserve">NGS</w:t>
      </w:r>
      <w:r w:rsidDel="00000000" w:rsidR="00000000" w:rsidRPr="00000000">
        <w:rPr>
          <w:color w:val="666666"/>
          <w:rtl w:val="0"/>
        </w:rPr>
        <w:t xml:space="preserve">). </w:t>
      </w:r>
      <w:r w:rsidDel="00000000" w:rsidR="00000000" w:rsidRPr="00000000">
        <w:rPr>
          <w:rtl w:val="0"/>
        </w:rPr>
        <w:t xml:space="preserve">Cette édition de l’école aborde les nouveaux enjeux technologiques: elle s’articulera autour de trois ateliers thématiques en session parallèle (</w:t>
      </w:r>
      <w:r w:rsidDel="00000000" w:rsidR="00000000" w:rsidRPr="00000000">
        <w:rPr>
          <w:b w:val="1"/>
          <w:rtl w:val="0"/>
        </w:rPr>
        <w:t xml:space="preserve">bulk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RNA-seq, ChIP-seq/ATAC-seq, variants DNA-seq</w:t>
      </w:r>
      <w:r w:rsidDel="00000000" w:rsidR="00000000" w:rsidRPr="00000000">
        <w:rPr>
          <w:rtl w:val="0"/>
        </w:rPr>
        <w:t xml:space="preserve">), auxquelles nous ajoutons une nouvelle session: </w:t>
      </w:r>
      <w:r w:rsidDel="00000000" w:rsidR="00000000" w:rsidRPr="00000000">
        <w:rPr>
          <w:b w:val="1"/>
          <w:rtl w:val="0"/>
        </w:rPr>
        <w:t xml:space="preserve">single-cell RNA-Seq</w:t>
      </w:r>
      <w:r w:rsidDel="00000000" w:rsidR="00000000" w:rsidRPr="00000000">
        <w:rPr>
          <w:rtl w:val="0"/>
        </w:rPr>
        <w:t xml:space="preserve">, et inclura une introduction aux technologies “</w:t>
      </w:r>
      <w:r w:rsidDel="00000000" w:rsidR="00000000" w:rsidRPr="00000000">
        <w:rPr>
          <w:b w:val="1"/>
          <w:rtl w:val="0"/>
        </w:rPr>
        <w:t xml:space="preserve">long reads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L’école vise à introduire les concepts, à manipuler les outils informatiques et à en interpréter les résultats. Elle est basée sur une alternance de courtes sessions théoriques et d’ateliers pratiques.</w:t>
      </w:r>
      <w:r w:rsidDel="00000000" w:rsidR="00000000" w:rsidRPr="00000000">
        <w:rPr>
          <w:b w:val="1"/>
          <w:color w:val="5176c5"/>
          <w:rtl w:val="0"/>
        </w:rPr>
        <w:t xml:space="preserve"> </w:t>
      </w:r>
      <w:r w:rsidDel="00000000" w:rsidR="00000000" w:rsidRPr="00000000">
        <w:rPr>
          <w:rtl w:val="0"/>
        </w:rPr>
        <w:t xml:space="preserve">Les participants bénéficieront d’un tutorat personnalisé pour élaborer leur plan d’analyse, et effectuer les premières étapes de traitement de leurs propres données ou de celles de leur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jc w:val="both"/>
        <w:rPr/>
      </w:pPr>
      <w:r w:rsidDel="00000000" w:rsidR="00000000" w:rsidRPr="00000000">
        <w:rPr>
          <w:b w:val="1"/>
          <w:color w:val="5176c5"/>
          <w:u w:val="single"/>
          <w:rtl w:val="0"/>
        </w:rPr>
        <w:t xml:space="preserve">Attention</w:t>
      </w:r>
      <w:r w:rsidDel="00000000" w:rsidR="00000000" w:rsidRPr="00000000">
        <w:rPr>
          <w:b w:val="1"/>
          <w:color w:val="5176c5"/>
          <w:rtl w:val="0"/>
        </w:rPr>
        <w:t xml:space="preserve"> </w:t>
      </w:r>
      <w:r w:rsidDel="00000000" w:rsidR="00000000" w:rsidRPr="00000000">
        <w:rPr>
          <w:rtl w:val="0"/>
        </w:rPr>
        <w:t xml:space="preserve">: le tutorat n'a pas pour vocation de réaliser l’analyse complète des données des participants.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rPr/>
      </w:pPr>
      <w:bookmarkStart w:colFirst="0" w:colLast="0" w:name="_1w6asf4tx5es" w:id="1"/>
      <w:bookmarkEnd w:id="1"/>
      <w:r w:rsidDel="00000000" w:rsidR="00000000" w:rsidRPr="00000000">
        <w:rPr>
          <w:vertAlign w:val="baseline"/>
          <w:rtl w:val="0"/>
        </w:rPr>
        <w:t xml:space="preserve">P</w:t>
      </w:r>
      <w:r w:rsidDel="00000000" w:rsidR="00000000" w:rsidRPr="00000000">
        <w:rPr>
          <w:rtl w:val="0"/>
        </w:rPr>
        <w:t xml:space="preserve">ublic visé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Cette formation est destinée aux biologistes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(ingénieurs, doctorants, chercheurs, enseignants-chercheurs</w:t>
      </w:r>
      <w:r w:rsidDel="00000000" w:rsidR="00000000" w:rsidRPr="00000000">
        <w:rPr>
          <w:rtl w:val="0"/>
        </w:rPr>
        <w:t xml:space="preserve">, praticiens</w:t>
      </w:r>
      <w:r w:rsidDel="00000000" w:rsidR="00000000" w:rsidRPr="00000000">
        <w:rPr>
          <w:vertAlign w:val="baseline"/>
          <w:rtl w:val="0"/>
        </w:rPr>
        <w:t xml:space="preserve">…) confrontés à l’analyse de données NGS, et qui ne disposent pas des compétences bioinformatiques suffisantes. </w:t>
      </w:r>
    </w:p>
    <w:p w:rsidR="00000000" w:rsidDel="00000000" w:rsidP="00000000" w:rsidRDefault="00000000" w:rsidRPr="00000000" w14:paraId="00000013">
      <w:pPr>
        <w:pStyle w:val="Heading1"/>
        <w:keepNext w:val="1"/>
        <w:keepLines w:val="1"/>
        <w:pageBreakBefore w:val="0"/>
        <w:spacing w:after="0" w:before="120" w:lineRule="auto"/>
        <w:rPr/>
      </w:pPr>
      <w:bookmarkStart w:colFirst="0" w:colLast="0" w:name="_5b6i5d83awlc" w:id="2"/>
      <w:bookmarkEnd w:id="2"/>
      <w:r w:rsidDel="00000000" w:rsidR="00000000" w:rsidRPr="00000000">
        <w:rPr>
          <w:rtl w:val="0"/>
        </w:rPr>
        <w:t xml:space="preserve">Environnement de travail   </w:t>
      </w:r>
      <w:r w:rsidDel="00000000" w:rsidR="00000000" w:rsidRPr="00000000">
        <w:rPr/>
        <w:drawing>
          <wp:inline distB="114300" distT="114300" distL="114300" distR="114300">
            <wp:extent cx="227440" cy="2274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440" cy="22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jc w:val="both"/>
        <w:rPr>
          <w:b w:val="1"/>
          <w:color w:val="5176c5"/>
        </w:rPr>
      </w:pPr>
      <w:r w:rsidDel="00000000" w:rsidR="00000000" w:rsidRPr="00000000">
        <w:rPr>
          <w:rtl w:val="0"/>
        </w:rPr>
        <w:t xml:space="preserve">L’ensemble de la formation reposera sur l’utilisation de commandes en ligne (terminal </w:t>
      </w:r>
      <w:r w:rsidDel="00000000" w:rsidR="00000000" w:rsidRPr="00000000">
        <w:rPr>
          <w:b w:val="1"/>
          <w:rtl w:val="0"/>
        </w:rPr>
        <w:t xml:space="preserve">Linux</w:t>
      </w:r>
      <w:r w:rsidDel="00000000" w:rsidR="00000000" w:rsidRPr="00000000">
        <w:rPr>
          <w:rtl w:val="0"/>
        </w:rPr>
        <w:t xml:space="preserve">) et du langage </w:t>
      </w: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1"/>
        <w:keepLines w:val="1"/>
        <w:pageBreakBefore w:val="0"/>
        <w:spacing w:after="0" w:before="120" w:lineRule="auto"/>
        <w:rPr/>
      </w:pPr>
      <w:bookmarkStart w:colFirst="0" w:colLast="0" w:name="_u20c0s29vxb0" w:id="3"/>
      <w:bookmarkEnd w:id="3"/>
      <w:r w:rsidDel="00000000" w:rsidR="00000000" w:rsidRPr="00000000">
        <w:rPr>
          <w:rtl w:val="0"/>
        </w:rPr>
        <w:t xml:space="preserve">Prérequis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Une autoformation en ligne aux tout premiers éléments de Unix et R est requise, sur base de matériel fourni par l’école.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1"/>
        <w:keepLines w:val="1"/>
        <w:pageBreakBefore w:val="0"/>
        <w:spacing w:after="0" w:before="120" w:lineRule="auto"/>
        <w:jc w:val="left"/>
        <w:rPr>
          <w:vertAlign w:val="baseline"/>
        </w:rPr>
      </w:pPr>
      <w:bookmarkStart w:colFirst="0" w:colLast="0" w:name="_b6rciyy896zu" w:id="4"/>
      <w:bookmarkEnd w:id="4"/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vertAlign w:val="baseline"/>
          <w:rtl w:val="0"/>
        </w:rPr>
        <w:t xml:space="preserve">odalités d’inscription</w:t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Date limite de pré-inscription : </w:t>
      </w:r>
      <w:r w:rsidDel="00000000" w:rsidR="00000000" w:rsidRPr="00000000">
        <w:rPr>
          <w:b w:val="1"/>
          <w:color w:val="ff0000"/>
          <w:rtl w:val="0"/>
        </w:rPr>
        <w:t xml:space="preserve">31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mai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20</w:t>
      </w:r>
      <w:r w:rsidDel="00000000" w:rsidR="00000000" w:rsidRPr="00000000">
        <w:rPr>
          <w:b w:val="1"/>
          <w:color w:val="ff0000"/>
          <w:rtl w:val="0"/>
        </w:rPr>
        <w:t xml:space="preserve">22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élection des participants : mi-</w:t>
      </w:r>
      <w:r w:rsidDel="00000000" w:rsidR="00000000" w:rsidRPr="00000000">
        <w:rPr>
          <w:rtl w:val="0"/>
        </w:rPr>
        <w:t xml:space="preserve">juin </w:t>
      </w:r>
      <w:r w:rsidDel="00000000" w:rsidR="00000000" w:rsidRPr="00000000">
        <w:rPr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  <w:t xml:space="preserve">Chaque année la demande dépasse de loin notre capacité d’accueil (40 places), </w:t>
      </w:r>
      <w:r w:rsidDel="00000000" w:rsidR="00000000" w:rsidRPr="00000000">
        <w:rPr>
          <w:vertAlign w:val="baseline"/>
          <w:rtl w:val="0"/>
        </w:rPr>
        <w:t xml:space="preserve">le comité d’organisation s</w:t>
      </w:r>
      <w:r w:rsidDel="00000000" w:rsidR="00000000" w:rsidRPr="00000000">
        <w:rPr>
          <w:rtl w:val="0"/>
        </w:rPr>
        <w:t xml:space="preserve">électionne </w:t>
      </w:r>
      <w:r w:rsidDel="00000000" w:rsidR="00000000" w:rsidRPr="00000000">
        <w:rPr>
          <w:vertAlign w:val="baseline"/>
          <w:rtl w:val="0"/>
        </w:rPr>
        <w:t xml:space="preserve">les participants d’après les</w:t>
      </w:r>
      <w:r w:rsidDel="00000000" w:rsidR="00000000" w:rsidRPr="00000000">
        <w:rPr>
          <w:vertAlign w:val="baseline"/>
          <w:rtl w:val="0"/>
        </w:rPr>
        <w:t xml:space="preserve"> informations renseignées dans le for</w:t>
      </w:r>
      <w:r w:rsidDel="00000000" w:rsidR="00000000" w:rsidRPr="00000000">
        <w:rPr>
          <w:rtl w:val="0"/>
        </w:rPr>
        <w:t xml:space="preserve">mulaire d’inscription (voir le site Web pour la liste des critères)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e degré de maturité du projet scientifique impliquant l’analyse de données de séquençage sera un des critères d’évaluation.</w:t>
      </w:r>
    </w:p>
    <w:p w:rsidR="00000000" w:rsidDel="00000000" w:rsidP="00000000" w:rsidRDefault="00000000" w:rsidRPr="00000000" w14:paraId="00000019">
      <w:pPr>
        <w:pageBreakBefore w:val="0"/>
        <w:spacing w:after="0"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3d85c6"/>
          <w:vertAlign w:val="baseline"/>
          <w:rtl w:val="0"/>
        </w:rPr>
        <w:t xml:space="preserve">Renseignements :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color w:val="4262b5"/>
            <w:u w:val="single"/>
            <w:vertAlign w:val="baseline"/>
            <w:rtl w:val="0"/>
          </w:rPr>
          <w:t xml:space="preserve">ecole-bioinfo@aviesan.fr</w:t>
        </w:r>
      </w:hyperlink>
      <w:r w:rsidDel="00000000" w:rsidR="00000000" w:rsidRPr="00000000">
        <w:fldChar w:fldCharType="begin"/>
        <w:instrText xml:space="preserve"> HYPERLINK "mailto:ecole-bioinfo@aviesan.fr"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Informations et inscriptions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https://www.france-bioinformatique.fr/formation/ebaii-2022-n1/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Compte </w:t>
      </w:r>
      <w:r w:rsidDel="00000000" w:rsidR="00000000" w:rsidRPr="00000000">
        <w:rPr>
          <w:b w:val="1"/>
          <w:rtl w:val="0"/>
        </w:rPr>
        <w:t xml:space="preserve">twitter</w:t>
      </w:r>
      <w:r w:rsidDel="00000000" w:rsidR="00000000" w:rsidRPr="00000000">
        <w:rPr>
          <w:b w:val="1"/>
          <w:rtl w:val="0"/>
        </w:rPr>
        <w:t xml:space="preserve"> :</w:t>
      </w:r>
      <w:r w:rsidDel="00000000" w:rsidR="00000000" w:rsidRPr="00000000">
        <w:rPr>
          <w:b w:val="1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https://twitter.com/EBAI_Roscoff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Frais d’inscription 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PT Mono" w:cs="PT Mono" w:eastAsia="PT Mono" w:hAnsi="PT Mono"/>
          <w:vertAlign w:val="baseline"/>
          <w:rtl w:val="0"/>
        </w:rPr>
        <w:t xml:space="preserve">00€ </w:t>
      </w:r>
      <w:r w:rsidDel="00000000" w:rsidR="00000000" w:rsidRPr="00000000">
        <w:rPr>
          <w:vertAlign w:val="baseline"/>
          <w:rtl w:val="0"/>
        </w:rPr>
        <w:t xml:space="preserve">HT</w:t>
      </w:r>
      <w:r w:rsidDel="00000000" w:rsidR="00000000" w:rsidRPr="00000000">
        <w:rPr>
          <w:rtl w:val="0"/>
        </w:rPr>
        <w:t xml:space="preserve"> pour les académiques et EPIC;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PT Mono" w:cs="PT Mono" w:eastAsia="PT Mono" w:hAnsi="PT Mono"/>
          <w:rtl w:val="0"/>
        </w:rPr>
        <w:t xml:space="preserve">2500€ HT </w:t>
      </w:r>
      <w:r w:rsidDel="00000000" w:rsidR="00000000" w:rsidRPr="00000000">
        <w:rPr>
          <w:vertAlign w:val="baseline"/>
          <w:rtl w:val="0"/>
        </w:rPr>
        <w:t xml:space="preserve">pour les industriels. </w:t>
        <w:br w:type="textWrapping"/>
        <w:t xml:space="preserve">L’hébergement et la restauration sont inclus. </w:t>
      </w:r>
      <w:r w:rsidDel="00000000" w:rsidR="00000000" w:rsidRPr="00000000">
        <w:rPr>
          <w:rtl w:val="0"/>
        </w:rPr>
        <w:t xml:space="preserve">Les frais de transport demeurent à la charge des participants.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tabs>
          <w:tab w:val="left" w:pos="708"/>
        </w:tabs>
        <w:spacing w:after="60" w:before="160" w:lineRule="auto"/>
        <w:rPr>
          <w:vertAlign w:val="baseline"/>
        </w:rPr>
      </w:pPr>
      <w:r w:rsidDel="00000000" w:rsidR="00000000" w:rsidRPr="00000000">
        <w:rPr>
          <w:b w:val="1"/>
          <w:color w:val="4262b5"/>
          <w:vertAlign w:val="baseline"/>
          <w:rtl w:val="0"/>
        </w:rPr>
        <w:t xml:space="preserve">Coordination scientifique 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Erwan Corre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CNRS</w:t>
      </w:r>
      <w:r w:rsidDel="00000000" w:rsidR="00000000" w:rsidRPr="00000000">
        <w:rPr>
          <w:vertAlign w:val="baseline"/>
          <w:rtl w:val="0"/>
        </w:rPr>
        <w:t xml:space="preserve">), Jacques van Helden (IFB), Matthias Zytnicki  (INRAE), R</w:t>
      </w:r>
      <w:r w:rsidDel="00000000" w:rsidR="00000000" w:rsidRPr="00000000">
        <w:rPr>
          <w:rtl w:val="0"/>
        </w:rPr>
        <w:t xml:space="preserve">achel Legendre (Institut Pasteur)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pageBreakBefore w:val="0"/>
        <w:spacing w:after="60" w:before="16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4262b5"/>
          <w:rtl w:val="0"/>
        </w:rPr>
        <w:t xml:space="preserve">Formateurs et tuteurs </w:t>
      </w:r>
      <w:r w:rsidDel="00000000" w:rsidR="00000000" w:rsidRPr="00000000">
        <w:rPr>
          <w:b w:val="1"/>
          <w:color w:val="4262b5"/>
          <w:vertAlign w:val="baseline"/>
          <w:rtl w:val="0"/>
        </w:rPr>
        <w:t xml:space="preserve">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ne trentaine de f</w:t>
      </w:r>
      <w:r w:rsidDel="00000000" w:rsidR="00000000" w:rsidRPr="00000000">
        <w:rPr>
          <w:vertAlign w:val="baseline"/>
          <w:rtl w:val="0"/>
        </w:rPr>
        <w:t xml:space="preserve">ormateurs et tuteurs provenant des organismes et universités suivants: CNRS, INRAE, Inserm, Institut Curie, Institut Pasteur, Institut Gustave Roussy, ENS, Aix-Marseille Université,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Sorbonne Université, Université de Lille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vertAlign w:val="baseline"/>
          <w:rtl w:val="0"/>
        </w:rPr>
        <w:t xml:space="preserve">Avec le soutien de l’Institut Français de Bioinformatique (IFB) et d'AVIESAN (Alliance Nationale pour les Sciences de la Vie et de la Santé).</w:t>
      </w:r>
    </w:p>
    <w:p w:rsidR="00000000" w:rsidDel="00000000" w:rsidP="00000000" w:rsidRDefault="00000000" w:rsidRPr="00000000" w14:paraId="0000001F">
      <w:pPr>
        <w:pageBreakBefore w:val="0"/>
        <w:tabs>
          <w:tab w:val="left" w:pos="708"/>
        </w:tabs>
        <w:spacing w:after="60" w:before="16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4262b5"/>
          <w:vertAlign w:val="baseline"/>
          <w:rtl w:val="0"/>
        </w:rPr>
        <w:t xml:space="preserve">Plateformes 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 IFB core (Evry), ABiMS (CNRS/Sorbonne Université, Roscoff), IGBMC (CNRS/Inserm/Université de Strasbourg)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Migale (INRA Jouy en Josas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pageBreakBefore w:val="0"/>
        <w:tabs>
          <w:tab w:val="left" w:pos="708"/>
        </w:tabs>
        <w:spacing w:after="60" w:before="160" w:lineRule="auto"/>
        <w:jc w:val="both"/>
        <w:rPr/>
      </w:pPr>
      <w:r w:rsidDel="00000000" w:rsidR="00000000" w:rsidRPr="00000000">
        <w:rPr>
          <w:b w:val="1"/>
          <w:color w:val="4262b5"/>
          <w:rtl w:val="0"/>
        </w:rPr>
        <w:t xml:space="preserve">Coordination administrative </w:t>
      </w:r>
      <w:r w:rsidDel="00000000" w:rsidR="00000000" w:rsidRPr="00000000">
        <w:rPr>
          <w:b w:val="1"/>
          <w:color w:val="4262b5"/>
          <w:vertAlign w:val="baseline"/>
          <w:rtl w:val="0"/>
        </w:rPr>
        <w:t xml:space="preserve">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Aviesan ITMO GGB, Inserm, IFB.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5248275</wp:posOffset>
            </wp:positionH>
            <wp:positionV relativeFrom="paragraph">
              <wp:posOffset>361950</wp:posOffset>
            </wp:positionV>
            <wp:extent cx="1333407" cy="623888"/>
            <wp:effectExtent b="0" l="0" r="0" t="0"/>
            <wp:wrapSquare wrapText="bothSides" distB="114300" distT="11430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407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pageBreakBefore w:val="0"/>
        <w:tabs>
          <w:tab w:val="left" w:pos="708"/>
        </w:tabs>
        <w:spacing w:after="60" w:before="1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708"/>
        </w:tabs>
        <w:spacing w:after="60" w:before="1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Numéro de déclaration de l’Inserm - organisme de formation : 11754553375</w:t>
      </w:r>
      <w:r w:rsidDel="00000000" w:rsidR="00000000" w:rsidRPr="00000000">
        <w:rPr>
          <w:rtl w:val="0"/>
        </w:rPr>
      </w:r>
    </w:p>
    <w:sectPr>
      <w:headerReference r:id="rId15" w:type="first"/>
      <w:footerReference r:id="rId16" w:type="default"/>
      <w:footerReference r:id="rId17" w:type="first"/>
      <w:pgSz w:h="16838" w:w="11906" w:orient="portrait"/>
      <w:pgMar w:bottom="777" w:top="403" w:left="619" w:right="61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Nunito"/>
  <w:font w:name="Georgia"/>
  <w:font w:name="PT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tabs>
        <w:tab w:val="center" w:pos="4536"/>
        <w:tab w:val="right" w:pos="9072"/>
      </w:tabs>
      <w:spacing w:after="72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63"/>
        <w:tab w:val="center" w:pos="3588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lang w:val="fr-FR"/>
      </w:rPr>
    </w:rPrDefault>
    <w:pPrDefault>
      <w:pPr>
        <w:widowControl w:val="0"/>
        <w:spacing w:after="40" w:before="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  <w:jc w:val="left"/>
    </w:pPr>
    <w:rPr>
      <w:b w:val="1"/>
      <w:color w:val="5176c5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cole-bioinfo@aviesan.fr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twitter.com/EBAI_Roscoff" TargetMode="External"/><Relationship Id="rId12" Type="http://schemas.openxmlformats.org/officeDocument/2006/relationships/hyperlink" Target="https://www.france-bioinformatique.fr/formation/ebaii-2022-n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b-roscoff.fr/" TargetMode="External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